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1D55F" w14:textId="77777777" w:rsidR="00262D72" w:rsidRDefault="00A2148A">
      <w:pPr>
        <w:spacing w:after="80"/>
      </w:pPr>
      <w:r>
        <w:rPr>
          <w:sz w:val="44"/>
          <w:szCs w:val="44"/>
        </w:rPr>
        <w:t>Wet Loontransparantie &amp; HR21</w:t>
      </w:r>
    </w:p>
    <w:p w14:paraId="52C2254E" w14:textId="77777777" w:rsidR="00DC1A36" w:rsidRDefault="00A2148A" w:rsidP="006857AE">
      <w:pPr>
        <w:spacing w:before="80" w:after="800"/>
        <w:rPr>
          <w:i/>
          <w:iCs/>
          <w:color w:val="666666"/>
          <w:sz w:val="24"/>
          <w:szCs w:val="24"/>
        </w:rPr>
      </w:pPr>
      <w:r>
        <w:rPr>
          <w:i/>
          <w:iCs/>
          <w:color w:val="666666"/>
          <w:sz w:val="24"/>
          <w:szCs w:val="24"/>
        </w:rPr>
        <w:t>Veelgestelde vragen voor HR21</w:t>
      </w:r>
      <w:r w:rsidR="00F968F2">
        <w:rPr>
          <w:i/>
          <w:iCs/>
          <w:color w:val="666666"/>
          <w:sz w:val="24"/>
          <w:szCs w:val="24"/>
        </w:rPr>
        <w:t xml:space="preserve"> </w:t>
      </w:r>
    </w:p>
    <w:p w14:paraId="605D6BEE" w14:textId="6EBAE525" w:rsidR="00262D72" w:rsidRDefault="003B1870" w:rsidP="006857AE">
      <w:pPr>
        <w:spacing w:before="80" w:after="800"/>
      </w:pPr>
      <w:r w:rsidRPr="36A2D5AB">
        <w:rPr>
          <w:i/>
          <w:iCs/>
          <w:color w:val="666666"/>
          <w:sz w:val="24"/>
          <w:szCs w:val="24"/>
        </w:rPr>
        <w:t>Publi</w:t>
      </w:r>
      <w:r w:rsidR="007A71C5" w:rsidRPr="36A2D5AB">
        <w:rPr>
          <w:i/>
          <w:iCs/>
          <w:color w:val="666666"/>
          <w:sz w:val="24"/>
          <w:szCs w:val="24"/>
        </w:rPr>
        <w:t>catieda</w:t>
      </w:r>
      <w:r w:rsidR="009908CF" w:rsidRPr="36A2D5AB">
        <w:rPr>
          <w:i/>
          <w:iCs/>
          <w:color w:val="666666"/>
          <w:sz w:val="24"/>
          <w:szCs w:val="24"/>
        </w:rPr>
        <w:t>tum</w:t>
      </w:r>
      <w:r w:rsidR="00AC55E1" w:rsidRPr="36A2D5AB">
        <w:rPr>
          <w:i/>
          <w:iCs/>
          <w:color w:val="666666"/>
          <w:sz w:val="24"/>
          <w:szCs w:val="24"/>
        </w:rPr>
        <w:t xml:space="preserve"> </w:t>
      </w:r>
      <w:r w:rsidR="00764AC6" w:rsidRPr="36A2D5AB">
        <w:rPr>
          <w:i/>
          <w:iCs/>
          <w:color w:val="666666"/>
          <w:sz w:val="24"/>
          <w:szCs w:val="24"/>
        </w:rPr>
        <w:t>2</w:t>
      </w:r>
      <w:r w:rsidR="009774FE" w:rsidRPr="36A2D5AB">
        <w:rPr>
          <w:i/>
          <w:iCs/>
          <w:color w:val="666666"/>
          <w:sz w:val="24"/>
          <w:szCs w:val="24"/>
        </w:rPr>
        <w:t>9</w:t>
      </w:r>
      <w:r w:rsidR="008E63AD" w:rsidRPr="36A2D5AB">
        <w:rPr>
          <w:i/>
          <w:iCs/>
          <w:color w:val="666666"/>
          <w:sz w:val="24"/>
          <w:szCs w:val="24"/>
        </w:rPr>
        <w:t xml:space="preserve"> me</w:t>
      </w:r>
      <w:r w:rsidR="000E2F8C" w:rsidRPr="36A2D5AB">
        <w:rPr>
          <w:i/>
          <w:iCs/>
          <w:color w:val="666666"/>
          <w:sz w:val="24"/>
          <w:szCs w:val="24"/>
        </w:rPr>
        <w:t>i 20</w:t>
      </w:r>
      <w:r w:rsidR="00B621DC" w:rsidRPr="36A2D5AB">
        <w:rPr>
          <w:i/>
          <w:iCs/>
          <w:color w:val="666666"/>
          <w:sz w:val="24"/>
          <w:szCs w:val="24"/>
        </w:rPr>
        <w:t>26</w:t>
      </w:r>
    </w:p>
    <w:p w14:paraId="1DFD1EAF" w14:textId="4C30AF59" w:rsidR="7B663512" w:rsidRDefault="7B663512" w:rsidP="36A2D5AB">
      <w:pPr>
        <w:spacing w:before="240" w:after="240"/>
      </w:pPr>
      <w:r w:rsidRPr="36A2D5AB">
        <w:rPr>
          <w:b/>
          <w:bCs/>
          <w:sz w:val="24"/>
          <w:szCs w:val="24"/>
        </w:rPr>
        <w:t>Introductie</w:t>
      </w:r>
    </w:p>
    <w:p w14:paraId="32E3031B" w14:textId="59293D40" w:rsidR="7B663512" w:rsidRDefault="7B663512" w:rsidP="36A2D5AB">
      <w:pPr>
        <w:spacing w:before="240" w:after="240"/>
        <w:rPr>
          <w:sz w:val="24"/>
          <w:szCs w:val="24"/>
        </w:rPr>
      </w:pPr>
      <w:r w:rsidRPr="36A2D5AB">
        <w:rPr>
          <w:sz w:val="24"/>
          <w:szCs w:val="24"/>
        </w:rPr>
        <w:t xml:space="preserve">De Wet implementatie Richtlijn loontransparantie brengt nieuwe verplichtingen met zich mee voor werkgevers, zo ook voor organisaties die werken met HR21. </w:t>
      </w:r>
      <w:r w:rsidR="046E76D2" w:rsidRPr="36A2D5AB">
        <w:rPr>
          <w:sz w:val="24"/>
          <w:szCs w:val="24"/>
        </w:rPr>
        <w:t xml:space="preserve">Je krijgt </w:t>
      </w:r>
      <w:r w:rsidRPr="36A2D5AB">
        <w:rPr>
          <w:sz w:val="24"/>
          <w:szCs w:val="24"/>
        </w:rPr>
        <w:t>te maken met vragen over wat deze wet betekent</w:t>
      </w:r>
      <w:r w:rsidR="5D18A685" w:rsidRPr="36A2D5AB">
        <w:rPr>
          <w:sz w:val="24"/>
          <w:szCs w:val="24"/>
        </w:rPr>
        <w:t xml:space="preserve">. </w:t>
      </w:r>
    </w:p>
    <w:p w14:paraId="6C5D4423" w14:textId="2B872D7F" w:rsidR="7B663512" w:rsidRDefault="7B663512" w:rsidP="36A2D5AB">
      <w:pPr>
        <w:spacing w:before="240" w:after="240"/>
      </w:pPr>
      <w:r w:rsidRPr="36A2D5AB">
        <w:rPr>
          <w:sz w:val="24"/>
          <w:szCs w:val="24"/>
        </w:rPr>
        <w:t>Dit document biedt antwoord op de veelgestelde vragen</w:t>
      </w:r>
      <w:r w:rsidR="213C9942" w:rsidRPr="36A2D5AB">
        <w:rPr>
          <w:sz w:val="24"/>
          <w:szCs w:val="24"/>
        </w:rPr>
        <w:t xml:space="preserve">, gericht op </w:t>
      </w:r>
      <w:r w:rsidRPr="36A2D5AB">
        <w:rPr>
          <w:sz w:val="24"/>
          <w:szCs w:val="24"/>
        </w:rPr>
        <w:t>HR21-gebruikers. Het is opgesteld door Leeuwendaal en wordt doorlopend bijgewerkt naarmate de wetgeving zich verder ontwikkelt. De EU-Richtlijn 2023/970 heeft rechtstreekse werking vanaf 7 juni 2026; de Nederlandse implementatiewet wordt verwacht per 1 januari 2027. Dit document houdt rekening met die fasering.</w:t>
      </w:r>
    </w:p>
    <w:p w14:paraId="0CDF8EB1" w14:textId="25472F31" w:rsidR="7B663512" w:rsidRDefault="7B663512" w:rsidP="36A2D5AB">
      <w:pPr>
        <w:spacing w:before="240" w:after="240"/>
      </w:pPr>
      <w:r w:rsidRPr="36A2D5AB">
        <w:rPr>
          <w:b/>
          <w:bCs/>
          <w:sz w:val="24"/>
          <w:szCs w:val="24"/>
        </w:rPr>
        <w:t>Hoe gebruik je dit document?</w:t>
      </w:r>
    </w:p>
    <w:p w14:paraId="483A6F69" w14:textId="36534C46" w:rsidR="69D2FB20" w:rsidRDefault="69D2FB20" w:rsidP="36A2D5AB">
      <w:pPr>
        <w:spacing w:before="240" w:after="240" w:line="259" w:lineRule="auto"/>
      </w:pPr>
      <w:r w:rsidRPr="36A2D5AB">
        <w:rPr>
          <w:sz w:val="24"/>
          <w:szCs w:val="24"/>
        </w:rPr>
        <w:t xml:space="preserve">Dit document gaat specifiek in op de onderdelen uit de wet die te maken hebben met HR21. </w:t>
      </w:r>
      <w:r w:rsidR="7B663512" w:rsidRPr="36A2D5AB">
        <w:rPr>
          <w:sz w:val="24"/>
          <w:szCs w:val="24"/>
        </w:rPr>
        <w:t xml:space="preserve">De vragen zijn gerangschikt van algemeen naar specifiek. Begin bij hoofdstuk 1 als je de wet nog wilt doorgronden. Werk je al met HR21 en wil je weten of </w:t>
      </w:r>
      <w:r w:rsidR="56EE3F98" w:rsidRPr="36A2D5AB">
        <w:rPr>
          <w:sz w:val="24"/>
          <w:szCs w:val="24"/>
        </w:rPr>
        <w:t xml:space="preserve">en hoe het </w:t>
      </w:r>
      <w:r w:rsidR="7B663512" w:rsidRPr="36A2D5AB">
        <w:rPr>
          <w:sz w:val="24"/>
          <w:szCs w:val="24"/>
        </w:rPr>
        <w:t>systeem voldoet, ga dan direct naar hoofdstuk 2</w:t>
      </w:r>
      <w:r w:rsidR="694279E8" w:rsidRPr="36A2D5AB">
        <w:rPr>
          <w:sz w:val="24"/>
          <w:szCs w:val="24"/>
        </w:rPr>
        <w:t xml:space="preserve"> en 3</w:t>
      </w:r>
      <w:r w:rsidR="7B663512" w:rsidRPr="36A2D5AB">
        <w:rPr>
          <w:sz w:val="24"/>
          <w:szCs w:val="24"/>
        </w:rPr>
        <w:t xml:space="preserve">. </w:t>
      </w:r>
      <w:r w:rsidR="6308F3B5" w:rsidRPr="36A2D5AB">
        <w:rPr>
          <w:sz w:val="24"/>
          <w:szCs w:val="24"/>
        </w:rPr>
        <w:t xml:space="preserve">In hoofdstuk 4 tref je enkele </w:t>
      </w:r>
      <w:r w:rsidR="7B663512" w:rsidRPr="36A2D5AB">
        <w:rPr>
          <w:sz w:val="24"/>
          <w:szCs w:val="24"/>
        </w:rPr>
        <w:t xml:space="preserve">praktische handvatten </w:t>
      </w:r>
      <w:r w:rsidR="676E0859" w:rsidRPr="36A2D5AB">
        <w:rPr>
          <w:sz w:val="24"/>
          <w:szCs w:val="24"/>
        </w:rPr>
        <w:t>aan</w:t>
      </w:r>
      <w:r w:rsidR="7B663512" w:rsidRPr="36A2D5AB">
        <w:rPr>
          <w:sz w:val="24"/>
          <w:szCs w:val="24"/>
        </w:rPr>
        <w:t>.</w:t>
      </w:r>
    </w:p>
    <w:p w14:paraId="0C0A6DB1" w14:textId="6745944A" w:rsidR="7B663512" w:rsidRDefault="7B663512" w:rsidP="36A2D5AB">
      <w:pPr>
        <w:spacing w:before="240" w:after="240"/>
      </w:pPr>
      <w:r w:rsidRPr="36A2D5AB">
        <w:rPr>
          <w:sz w:val="24"/>
          <w:szCs w:val="24"/>
        </w:rPr>
        <w:t>Kom je er niet uit, of heb je een vraag die hier nog niet beantwoord wordt? Neem dan contact op met Leeuwendaal.</w:t>
      </w:r>
    </w:p>
    <w:p w14:paraId="47CCD818" w14:textId="407F7462" w:rsidR="7B663512" w:rsidRDefault="7B663512" w:rsidP="36A2D5AB">
      <w:pPr>
        <w:spacing w:before="240" w:after="240"/>
      </w:pPr>
      <w:r w:rsidRPr="36A2D5AB">
        <w:rPr>
          <w:i/>
          <w:iCs/>
          <w:sz w:val="24"/>
          <w:szCs w:val="24"/>
        </w:rPr>
        <w:t>Let op: dit document is gebaseerd op de op publicatiedatum beschikbare informatie. De Nederlandse wet is nog niet definitief aangenomen; onderdelen kunnen wijzigen. Aan dit document kunnen geen rechten worden ontleend.</w:t>
      </w:r>
    </w:p>
    <w:p w14:paraId="67CA24F9" w14:textId="49C464D6" w:rsidR="36A2D5AB" w:rsidRDefault="36A2D5AB" w:rsidP="36A2D5AB">
      <w:pPr>
        <w:spacing w:before="80" w:after="800"/>
        <w:rPr>
          <w:i/>
          <w:iCs/>
          <w:color w:val="666666"/>
          <w:sz w:val="24"/>
          <w:szCs w:val="24"/>
        </w:rPr>
      </w:pPr>
    </w:p>
    <w:p w14:paraId="211E17D8" w14:textId="227994A2" w:rsidR="00262D72" w:rsidRDefault="00052F21">
      <w:pPr>
        <w:pageBreakBefore/>
      </w:pPr>
      <w:r>
        <w:t>Publi</w:t>
      </w:r>
      <w:r w:rsidR="00372A4F">
        <w:t>catieda</w:t>
      </w:r>
      <w:r w:rsidR="002A178A">
        <w:t>tum</w:t>
      </w:r>
      <w:r w:rsidR="00CC4E5A">
        <w:t xml:space="preserve"> </w:t>
      </w:r>
      <w:r w:rsidR="00D40178">
        <w:t>29</w:t>
      </w:r>
      <w:r w:rsidR="0004588E">
        <w:t xml:space="preserve"> </w:t>
      </w:r>
      <w:r w:rsidR="00CF69F0">
        <w:t xml:space="preserve">mei </w:t>
      </w:r>
      <w:r w:rsidR="00743397">
        <w:t>2026</w:t>
      </w:r>
    </w:p>
    <w:p w14:paraId="1A85835A" w14:textId="77777777" w:rsidR="00262D72" w:rsidRDefault="00A2148A">
      <w:pPr>
        <w:pStyle w:val="Heading1"/>
      </w:pPr>
      <w:r>
        <w:t>1. Algemeen: Wat houdt de wet in?</w:t>
      </w:r>
    </w:p>
    <w:p w14:paraId="0F0CCAEC" w14:textId="77777777" w:rsidR="00262D72" w:rsidRDefault="00262D72">
      <w:pPr>
        <w:pBdr>
          <w:bottom w:val="single" w:sz="4" w:space="1" w:color="1FB7D1"/>
        </w:pBdr>
        <w:spacing w:before="160" w:after="160"/>
      </w:pPr>
    </w:p>
    <w:p w14:paraId="78D16E30" w14:textId="77777777" w:rsidR="00262D72" w:rsidRDefault="00A2148A">
      <w:pPr>
        <w:pStyle w:val="Heading2"/>
      </w:pPr>
      <w:r>
        <w:t>Wat is de Wet loontransparantie?</w:t>
      </w:r>
    </w:p>
    <w:p w14:paraId="157D18F5" w14:textId="77777777" w:rsidR="00262D72" w:rsidRDefault="00A2148A">
      <w:pPr>
        <w:spacing w:before="60" w:after="100"/>
      </w:pPr>
      <w:r>
        <w:t>De Wet implementatie Richtlijn loontransparantie mannen en vrouwen beoogt de beloningsverschillen tussen mannen en vrouwen beter zichtbaar te maken en te laten verdwijnen door werkgevers te verplichten transparanter te zijn over hun beloningsstructuren. De wet is van toepassing op werkgevers in de publieke en particuliere sector. De wet richt zich zowel op het voorkomen van toekomstige ongelijkheid (door nieuwe regels bij het wervingsproces) als op het aanpakken van bestaande beloningsverschillen (door het invoeren van informatie- en rapportageverplichtingen).</w:t>
      </w:r>
    </w:p>
    <w:p w14:paraId="7B3329AB" w14:textId="77777777" w:rsidR="00262D72" w:rsidRDefault="00A2148A">
      <w:pPr>
        <w:pStyle w:val="Heading2"/>
      </w:pPr>
      <w:r>
        <w:t>Waarom is de wet er?</w:t>
      </w:r>
    </w:p>
    <w:p w14:paraId="74D28DF0" w14:textId="77777777" w:rsidR="00262D72" w:rsidRDefault="00A2148A">
      <w:pPr>
        <w:spacing w:before="60" w:after="100"/>
      </w:pPr>
      <w:r>
        <w:t>De Europese Richtlijn 2023/970 (vastgesteld 10 mei 2023) versterkt het beginsel van gelijke beloning van mannen en vrouwen voor gelijke of gelijkwaardige arbeid. Het beginsel bestaat al, maar wordt nog niet altijd correct toegepast. Bindende maatregelen zijn nodig omdat vrijwillig beleid onvoldoende tot daling van loonverschillen heeft geleid.</w:t>
      </w:r>
    </w:p>
    <w:p w14:paraId="4C9C241A" w14:textId="77777777" w:rsidR="00262D72" w:rsidRDefault="00A2148A">
      <w:pPr>
        <w:pStyle w:val="Heading2"/>
      </w:pPr>
      <w:r>
        <w:t>Wanneer treedt de wet in werking?</w:t>
      </w:r>
    </w:p>
    <w:p w14:paraId="6A8AA02B" w14:textId="3D145589" w:rsidR="00A2148A" w:rsidRDefault="00A2148A" w:rsidP="36A2D5AB">
      <w:pPr>
        <w:spacing w:before="60" w:after="100" w:line="259" w:lineRule="auto"/>
      </w:pPr>
      <w:r>
        <w:t xml:space="preserve">Het wetsvoorstel </w:t>
      </w:r>
      <w:r w:rsidR="0D06E098">
        <w:t>ligt nu ter behandeling voor bij de Tweede Kamer</w:t>
      </w:r>
      <w:r>
        <w:t>.</w:t>
      </w:r>
      <w:r w:rsidR="436003EA">
        <w:t xml:space="preserve"> </w:t>
      </w:r>
      <w:r w:rsidR="00C8506D">
        <w:t xml:space="preserve">Als na de Tweede ook de Eerste Kamer instemt, kan de wet per 1 januari 2027 in werking treden. </w:t>
      </w:r>
    </w:p>
    <w:p w14:paraId="35B36931" w14:textId="6EE5771F" w:rsidR="00262D72" w:rsidRDefault="00C8506D" w:rsidP="00C103C9">
      <w:pPr>
        <w:spacing w:before="60" w:after="100" w:line="259" w:lineRule="auto"/>
      </w:pPr>
      <w:r w:rsidRPr="00C8506D">
        <w:t> </w:t>
      </w:r>
      <w:r w:rsidR="00A2148A">
        <w:rPr>
          <w:i/>
          <w:iCs/>
          <w:color w:val="666666"/>
          <w:sz w:val="18"/>
          <w:szCs w:val="18"/>
        </w:rPr>
        <w:t>Let op: de EU-Richtlijn heeft rechtstreekse werking vanaf 7 juni 2026, ook als de Nederlandse wet nog niet is aangenomen.</w:t>
      </w:r>
    </w:p>
    <w:p w14:paraId="6A942C4B" w14:textId="77777777" w:rsidR="00262D72" w:rsidRDefault="00A2148A">
      <w:pPr>
        <w:pStyle w:val="Heading2"/>
      </w:pPr>
      <w:r>
        <w:t>Wat zijn de vier verplichtingen voor werkgevers?</w:t>
      </w:r>
    </w:p>
    <w:p w14:paraId="51742B96" w14:textId="77777777" w:rsidR="00262D72" w:rsidRDefault="00A2148A">
      <w:pPr>
        <w:spacing w:before="60" w:after="100"/>
      </w:pPr>
      <w:r>
        <w:t>Het wetsvoorstel bevat vier belangrijke verplichtingen/wijzigingen:</w:t>
      </w:r>
    </w:p>
    <w:p w14:paraId="036A0966" w14:textId="77777777" w:rsidR="00262D72" w:rsidRDefault="00A2148A">
      <w:pPr>
        <w:pStyle w:val="ListParagraph"/>
        <w:numPr>
          <w:ilvl w:val="0"/>
          <w:numId w:val="10"/>
        </w:numPr>
        <w:spacing w:before="40" w:after="40"/>
      </w:pPr>
      <w:r>
        <w:t>Het opstellen van objectieve beloningsstructuren (een systeem voor functiewaardering en -indeling) — geldt voor alle werkgevers, ongeacht omvang.</w:t>
      </w:r>
    </w:p>
    <w:p w14:paraId="15F73D56" w14:textId="77777777" w:rsidR="00262D72" w:rsidRDefault="00A2148A">
      <w:pPr>
        <w:pStyle w:val="ListParagraph"/>
        <w:numPr>
          <w:ilvl w:val="0"/>
          <w:numId w:val="10"/>
        </w:numPr>
        <w:spacing w:before="40" w:after="40"/>
      </w:pPr>
      <w:r>
        <w:t>Het naleven van transparantieverplichtingen — geldt voor alle werkgevers.</w:t>
      </w:r>
    </w:p>
    <w:p w14:paraId="48F8D752" w14:textId="77777777" w:rsidR="00262D72" w:rsidRDefault="00A2148A">
      <w:pPr>
        <w:pStyle w:val="ListParagraph"/>
        <w:numPr>
          <w:ilvl w:val="0"/>
          <w:numId w:val="10"/>
        </w:numPr>
        <w:spacing w:before="40" w:after="40"/>
      </w:pPr>
      <w:r>
        <w:t>Het voldoen aan loonrapportageverplichtingen en het uitvoeren van een loonevaluatie — geldt voor werkgevers met minimaal 100 werknemers.</w:t>
      </w:r>
    </w:p>
    <w:p w14:paraId="0D693EC8" w14:textId="77777777" w:rsidR="00262D72" w:rsidRDefault="00A2148A">
      <w:pPr>
        <w:pStyle w:val="ListParagraph"/>
        <w:numPr>
          <w:ilvl w:val="0"/>
          <w:numId w:val="10"/>
        </w:numPr>
        <w:spacing w:before="40" w:after="40"/>
      </w:pPr>
      <w:r>
        <w:t>Een verdere verschuiving van de bewijslast bij loonclaims.</w:t>
      </w:r>
    </w:p>
    <w:p w14:paraId="199A37E7" w14:textId="6B5CE0A5" w:rsidR="00262D72" w:rsidRDefault="0082020D">
      <w:pPr>
        <w:pageBreakBefore/>
      </w:pPr>
      <w:r>
        <w:t>Publicatiedatum 29 mei 2026</w:t>
      </w:r>
    </w:p>
    <w:p w14:paraId="4C5F6A11" w14:textId="77777777" w:rsidR="00262D72" w:rsidRDefault="00A2148A">
      <w:pPr>
        <w:pStyle w:val="Heading1"/>
      </w:pPr>
      <w:r>
        <w:t>2. HR21 en de wet: voldoet het systeem?</w:t>
      </w:r>
    </w:p>
    <w:p w14:paraId="0374DD27" w14:textId="77777777" w:rsidR="00262D72" w:rsidRDefault="00262D72">
      <w:pPr>
        <w:pBdr>
          <w:bottom w:val="single" w:sz="4" w:space="1" w:color="1FB7D1"/>
        </w:pBdr>
        <w:spacing w:before="160" w:after="160"/>
      </w:pPr>
    </w:p>
    <w:p w14:paraId="3554E5E1" w14:textId="37802B57" w:rsidR="00262D72" w:rsidRDefault="00A2148A">
      <w:pPr>
        <w:pStyle w:val="Heading2"/>
      </w:pPr>
      <w:r>
        <w:t>Wat vereist de wet van een functiewaarderingssysteem</w:t>
      </w:r>
      <w:r w:rsidR="00065D2F">
        <w:t xml:space="preserve"> en wat betekent dit voor HR21-gebruikers?</w:t>
      </w:r>
    </w:p>
    <w:p w14:paraId="1503B1DF" w14:textId="1C5B2D02" w:rsidR="00262D72" w:rsidRDefault="00A2148A">
      <w:pPr>
        <w:spacing w:before="60" w:after="100"/>
      </w:pPr>
      <w:r>
        <w:t xml:space="preserve">Volgens de SZW Handreiking Loonstructuren (Verwey-Jonker Instituut, april 2026) dient iedere werkgever te beschikken over een loonstructuur. </w:t>
      </w:r>
      <w:r w:rsidR="00D57980">
        <w:t xml:space="preserve">De </w:t>
      </w:r>
      <w:r>
        <w:t xml:space="preserve">loonstructuur </w:t>
      </w:r>
      <w:r w:rsidR="009E2A0E">
        <w:t xml:space="preserve">is opgebouwd in </w:t>
      </w:r>
      <w:r>
        <w:t>vier stappen:</w:t>
      </w:r>
    </w:p>
    <w:p w14:paraId="3793F13A" w14:textId="4B1425BB" w:rsidR="009536BE" w:rsidRDefault="009536BE" w:rsidP="00AA1C54">
      <w:pPr>
        <w:spacing w:before="120" w:after="40"/>
      </w:pPr>
    </w:p>
    <w:tbl>
      <w:tblPr>
        <w:tblStyle w:val="TableGrid"/>
        <w:tblW w:w="0" w:type="auto"/>
        <w:tblLook w:val="04A0" w:firstRow="1" w:lastRow="0" w:firstColumn="1" w:lastColumn="0" w:noHBand="0" w:noVBand="1"/>
      </w:tblPr>
      <w:tblGrid>
        <w:gridCol w:w="2263"/>
        <w:gridCol w:w="3119"/>
        <w:gridCol w:w="3100"/>
      </w:tblGrid>
      <w:tr w:rsidR="009536BE" w:rsidRPr="004B469F" w14:paraId="00C6DF7E" w14:textId="77777777" w:rsidTr="36A2D5AB">
        <w:tc>
          <w:tcPr>
            <w:tcW w:w="2263" w:type="dxa"/>
          </w:tcPr>
          <w:p w14:paraId="73BC584F" w14:textId="03911673" w:rsidR="009536BE" w:rsidRPr="004B469F" w:rsidRDefault="009536BE" w:rsidP="00AA1C54">
            <w:pPr>
              <w:spacing w:before="120" w:after="40"/>
              <w:rPr>
                <w:b/>
                <w:bCs/>
              </w:rPr>
            </w:pPr>
            <w:r w:rsidRPr="004B469F">
              <w:rPr>
                <w:b/>
                <w:bCs/>
              </w:rPr>
              <w:t xml:space="preserve">Stap </w:t>
            </w:r>
          </w:p>
        </w:tc>
        <w:tc>
          <w:tcPr>
            <w:tcW w:w="3119" w:type="dxa"/>
          </w:tcPr>
          <w:p w14:paraId="1B94CBE8" w14:textId="67C95941" w:rsidR="009536BE" w:rsidRPr="004B469F" w:rsidRDefault="0098381E" w:rsidP="00AA1C54">
            <w:pPr>
              <w:spacing w:before="120" w:after="40"/>
              <w:rPr>
                <w:b/>
                <w:bCs/>
              </w:rPr>
            </w:pPr>
            <w:r w:rsidRPr="004B469F">
              <w:rPr>
                <w:b/>
                <w:bCs/>
              </w:rPr>
              <w:t>Korte omschrijving wat is vereist</w:t>
            </w:r>
          </w:p>
        </w:tc>
        <w:tc>
          <w:tcPr>
            <w:tcW w:w="3008" w:type="dxa"/>
          </w:tcPr>
          <w:p w14:paraId="365F4AD7" w14:textId="2E177DF7" w:rsidR="009536BE" w:rsidRPr="004B469F" w:rsidRDefault="000572AA" w:rsidP="00AA1C54">
            <w:pPr>
              <w:spacing w:before="120" w:after="40"/>
              <w:rPr>
                <w:b/>
                <w:bCs/>
              </w:rPr>
            </w:pPr>
            <w:r w:rsidRPr="004B469F">
              <w:rPr>
                <w:b/>
                <w:bCs/>
              </w:rPr>
              <w:t>Wat betekent dit voor HR21-gebruikers?</w:t>
            </w:r>
          </w:p>
        </w:tc>
      </w:tr>
      <w:tr w:rsidR="009536BE" w14:paraId="6659F5BE" w14:textId="77777777" w:rsidTr="36A2D5AB">
        <w:tc>
          <w:tcPr>
            <w:tcW w:w="2263" w:type="dxa"/>
          </w:tcPr>
          <w:p w14:paraId="68789FE4" w14:textId="71033D54" w:rsidR="009536BE" w:rsidRDefault="009536BE" w:rsidP="00AA1C54">
            <w:pPr>
              <w:spacing w:before="120" w:after="40"/>
            </w:pPr>
            <w:r>
              <w:rPr>
                <w:b/>
                <w:bCs/>
                <w:color w:val="1FB7D1"/>
              </w:rPr>
              <w:t>Stap 1. Functieomschrijvingen</w:t>
            </w:r>
          </w:p>
        </w:tc>
        <w:tc>
          <w:tcPr>
            <w:tcW w:w="3119" w:type="dxa"/>
          </w:tcPr>
          <w:p w14:paraId="769AD3BB" w14:textId="4103804C" w:rsidR="009536BE" w:rsidRDefault="22D94172" w:rsidP="00AA1C54">
            <w:pPr>
              <w:spacing w:before="120" w:after="40"/>
            </w:pPr>
            <w:r>
              <w:t>Breng alle functies binnen de organisatie in kaart, ongeacht het type dienstverband zoals medewerkers met tijdelijke contracten of oproepkrachten.</w:t>
            </w:r>
          </w:p>
        </w:tc>
        <w:tc>
          <w:tcPr>
            <w:tcW w:w="3008" w:type="dxa"/>
          </w:tcPr>
          <w:p w14:paraId="5FC997A3" w14:textId="77777777" w:rsidR="006667B9" w:rsidRDefault="006667B9" w:rsidP="00AA1C54">
            <w:pPr>
              <w:spacing w:before="120" w:after="40"/>
            </w:pPr>
            <w:r>
              <w:t xml:space="preserve">Er is een verschil tussen de normfuncties en de functiebeelden opgesteld bijvoorbeeld door middel van de taakinventarisatie. </w:t>
            </w:r>
          </w:p>
          <w:p w14:paraId="3EB0D240" w14:textId="77777777" w:rsidR="00513456" w:rsidRDefault="006667B9" w:rsidP="00AA1C54">
            <w:pPr>
              <w:spacing w:before="120" w:after="40"/>
            </w:pPr>
            <w:r>
              <w:t xml:space="preserve">De normfuncties </w:t>
            </w:r>
            <w:r w:rsidR="00513456">
              <w:t xml:space="preserve">zijn onderdeel van het functiewaarderingssysteem en dus stap 2. </w:t>
            </w:r>
          </w:p>
          <w:p w14:paraId="2CB99370" w14:textId="3D0E4DDE" w:rsidR="009536BE" w:rsidRDefault="006C6543" w:rsidP="00AA1C54">
            <w:pPr>
              <w:spacing w:before="120" w:after="40"/>
            </w:pPr>
            <w:r>
              <w:t>De functie</w:t>
            </w:r>
            <w:r w:rsidR="0020067F">
              <w:t xml:space="preserve">omschrijvingen zoals bedoeld in deze stap zijn de verantwoordelijkheid </w:t>
            </w:r>
            <w:r w:rsidR="00372968">
              <w:t>van</w:t>
            </w:r>
            <w:r w:rsidR="0067031E">
              <w:t xml:space="preserve"> de</w:t>
            </w:r>
            <w:r w:rsidR="00704E23">
              <w:t xml:space="preserve"> werkgever. </w:t>
            </w:r>
            <w:r w:rsidR="00C65906">
              <w:t>V</w:t>
            </w:r>
            <w:r w:rsidR="00CD2864" w:rsidRPr="00CD2864">
              <w:t xml:space="preserve">oor elke medewerker </w:t>
            </w:r>
            <w:r w:rsidR="00C65906">
              <w:t xml:space="preserve">moeten </w:t>
            </w:r>
            <w:r w:rsidR="00CD2864" w:rsidRPr="00CD2864">
              <w:t xml:space="preserve">de feitelijke taken, verantwoordelijkheden en vereiste competenties in kaart </w:t>
            </w:r>
            <w:r w:rsidR="00C65906">
              <w:t xml:space="preserve">worden gebracht. </w:t>
            </w:r>
            <w:r w:rsidR="00D61F27">
              <w:t xml:space="preserve">De feitelijke taken en verantwoordelijkheden </w:t>
            </w:r>
            <w:r w:rsidR="00B8489D">
              <w:t xml:space="preserve">kunnen worden vastgelegd in </w:t>
            </w:r>
            <w:r w:rsidR="00CD2864" w:rsidRPr="00CD2864">
              <w:t>de taakinventarisaties</w:t>
            </w:r>
            <w:r w:rsidR="005F247D">
              <w:t>.</w:t>
            </w:r>
            <w:r w:rsidR="00CD2864" w:rsidRPr="00CD2864">
              <w:t> </w:t>
            </w:r>
            <w:r w:rsidR="00B8489D">
              <w:t xml:space="preserve">De competenties </w:t>
            </w:r>
            <w:r w:rsidR="0057341F">
              <w:t xml:space="preserve">kunnen separaat worden vastgelegd. </w:t>
            </w:r>
          </w:p>
        </w:tc>
      </w:tr>
      <w:tr w:rsidR="009536BE" w14:paraId="302D4D80" w14:textId="77777777" w:rsidTr="36A2D5AB">
        <w:tc>
          <w:tcPr>
            <w:tcW w:w="2263" w:type="dxa"/>
          </w:tcPr>
          <w:p w14:paraId="243573DC" w14:textId="16942CFF" w:rsidR="009536BE" w:rsidRDefault="000572AA" w:rsidP="00AA1C54">
            <w:pPr>
              <w:spacing w:before="120" w:after="40"/>
            </w:pPr>
            <w:r>
              <w:rPr>
                <w:b/>
                <w:bCs/>
                <w:color w:val="1FB7D1"/>
              </w:rPr>
              <w:t>Stap 2. Waardering</w:t>
            </w:r>
          </w:p>
        </w:tc>
        <w:tc>
          <w:tcPr>
            <w:tcW w:w="3119" w:type="dxa"/>
          </w:tcPr>
          <w:p w14:paraId="31AA7FBC" w14:textId="41BD3F25" w:rsidR="009536BE" w:rsidRPr="000572AA" w:rsidRDefault="000572AA" w:rsidP="00AA1C54">
            <w:pPr>
              <w:spacing w:before="120" w:after="40"/>
              <w:rPr>
                <w:b/>
                <w:bCs/>
                <w:color w:val="1FB7D1"/>
              </w:rPr>
            </w:pPr>
            <w:r w:rsidRPr="0040248E">
              <w:t>Het bepalen van de waarde van een functieomschrijving door de functies te waarderen en te wegen ten opzichte van andere functies.</w:t>
            </w:r>
          </w:p>
        </w:tc>
        <w:tc>
          <w:tcPr>
            <w:tcW w:w="3008" w:type="dxa"/>
          </w:tcPr>
          <w:p w14:paraId="74F32DB4" w14:textId="1EEB9F01" w:rsidR="009536BE" w:rsidRDefault="00173682" w:rsidP="00AA1C54">
            <w:pPr>
              <w:spacing w:before="120" w:after="40"/>
            </w:pPr>
            <w:r>
              <w:t xml:space="preserve">Voor </w:t>
            </w:r>
            <w:r w:rsidR="00154C65">
              <w:t xml:space="preserve">organisaties die gebruik maken van </w:t>
            </w:r>
            <w:r w:rsidR="00D71AF4">
              <w:t xml:space="preserve">HR21 </w:t>
            </w:r>
            <w:r w:rsidR="006D7B80">
              <w:t xml:space="preserve">geldt dat ze vallen onder </w:t>
            </w:r>
            <w:r w:rsidR="006D7B80" w:rsidRPr="007B75B0">
              <w:rPr>
                <w:b/>
                <w:bCs/>
              </w:rPr>
              <w:t>route A</w:t>
            </w:r>
            <w:r w:rsidR="006D7B80">
              <w:t xml:space="preserve"> zoals beschreven in </w:t>
            </w:r>
            <w:r w:rsidR="00551EF0">
              <w:t>de</w:t>
            </w:r>
            <w:r w:rsidR="006D7B80">
              <w:t xml:space="preserve"> </w:t>
            </w:r>
            <w:r w:rsidR="00551EF0">
              <w:t xml:space="preserve">SZW Handreiking Loonstructuren. </w:t>
            </w:r>
            <w:r w:rsidR="000152A7">
              <w:t xml:space="preserve">Route A geldt </w:t>
            </w:r>
            <w:r w:rsidR="00FD66D3">
              <w:t xml:space="preserve">als de functies zijn gewaardeerd door een functiewaarderingssysteemhouder. </w:t>
            </w:r>
          </w:p>
        </w:tc>
      </w:tr>
      <w:tr w:rsidR="009536BE" w14:paraId="5122FFFA" w14:textId="77777777" w:rsidTr="36A2D5AB">
        <w:tc>
          <w:tcPr>
            <w:tcW w:w="2263" w:type="dxa"/>
          </w:tcPr>
          <w:p w14:paraId="5502EBC2" w14:textId="58E87445" w:rsidR="009536BE" w:rsidRDefault="003C26F1" w:rsidP="00AA1C54">
            <w:pPr>
              <w:spacing w:before="120" w:after="40"/>
            </w:pPr>
            <w:r>
              <w:rPr>
                <w:b/>
                <w:bCs/>
                <w:color w:val="1FB7D1"/>
              </w:rPr>
              <w:t>Stap 3. De vertaling van functies naar salarisschalen of ranges</w:t>
            </w:r>
          </w:p>
        </w:tc>
        <w:tc>
          <w:tcPr>
            <w:tcW w:w="3119" w:type="dxa"/>
          </w:tcPr>
          <w:p w14:paraId="6C1B5D85" w14:textId="2EBD6058" w:rsidR="009536BE" w:rsidRPr="00410CC5" w:rsidRDefault="00410CC5" w:rsidP="00AA1C54">
            <w:pPr>
              <w:spacing w:before="120" w:after="40"/>
              <w:rPr>
                <w:b/>
                <w:bCs/>
                <w:color w:val="1FB7D1"/>
              </w:rPr>
            </w:pPr>
            <w:r w:rsidRPr="00EF319F">
              <w:t>Vertaal de functies naar salarisschalen of -ranges waarbij het minimum- en maximumsalaris</w:t>
            </w:r>
            <w:r w:rsidRPr="00EF319F">
              <w:rPr>
                <w:b/>
                <w:bCs/>
                <w:color w:val="1FB7D1"/>
              </w:rPr>
              <w:t xml:space="preserve"> </w:t>
            </w:r>
            <w:r w:rsidRPr="00EF319F">
              <w:t xml:space="preserve">voor elke functie is vastgelegd. </w:t>
            </w:r>
          </w:p>
        </w:tc>
        <w:tc>
          <w:tcPr>
            <w:tcW w:w="3008" w:type="dxa"/>
          </w:tcPr>
          <w:p w14:paraId="00680916" w14:textId="0E6330F0" w:rsidR="009536BE" w:rsidRDefault="001129E7" w:rsidP="00AA1C54">
            <w:pPr>
              <w:spacing w:before="120" w:after="40"/>
            </w:pPr>
            <w:r>
              <w:t xml:space="preserve">In HR21 zijn alle functies voorzien van een </w:t>
            </w:r>
            <w:r w:rsidR="008D7BA0">
              <w:t>punten</w:t>
            </w:r>
            <w:r w:rsidR="002B75A8">
              <w:t>score</w:t>
            </w:r>
            <w:r w:rsidR="008D7BA0">
              <w:t xml:space="preserve">. Functies van gelijke waarde hebben </w:t>
            </w:r>
            <w:r w:rsidR="002B75A8">
              <w:t xml:space="preserve">een </w:t>
            </w:r>
            <w:r w:rsidR="008D7BA0">
              <w:t xml:space="preserve">gelijke </w:t>
            </w:r>
            <w:r w:rsidR="002B75A8">
              <w:t>score</w:t>
            </w:r>
            <w:r w:rsidR="008D7BA0">
              <w:t xml:space="preserve">. </w:t>
            </w:r>
          </w:p>
          <w:p w14:paraId="70DFB4AB" w14:textId="6A5BD75D" w:rsidR="00956109" w:rsidRDefault="00913BF1" w:rsidP="00AA1C54">
            <w:pPr>
              <w:spacing w:before="120" w:after="40"/>
            </w:pPr>
            <w:r>
              <w:t xml:space="preserve">Binnen een </w:t>
            </w:r>
            <w:r w:rsidR="00D33402">
              <w:t xml:space="preserve">organisatie </w:t>
            </w:r>
            <w:r w:rsidR="009C1157">
              <w:t>die gebruik maakt van HR21</w:t>
            </w:r>
            <w:r w:rsidR="00D33402">
              <w:t xml:space="preserve"> worden </w:t>
            </w:r>
            <w:r>
              <w:t xml:space="preserve">functies van gelijke waarde daarmee </w:t>
            </w:r>
            <w:r w:rsidR="00D33402">
              <w:t xml:space="preserve">in dezelfde schaal ingedeeld. </w:t>
            </w:r>
          </w:p>
        </w:tc>
      </w:tr>
      <w:tr w:rsidR="009536BE" w14:paraId="7363C042" w14:textId="77777777" w:rsidTr="36A2D5AB">
        <w:tc>
          <w:tcPr>
            <w:tcW w:w="2263" w:type="dxa"/>
          </w:tcPr>
          <w:p w14:paraId="46C2FD66" w14:textId="52625E38" w:rsidR="009536BE" w:rsidRDefault="00410CC5" w:rsidP="00AA1C54">
            <w:pPr>
              <w:spacing w:before="120" w:after="40"/>
            </w:pPr>
            <w:r>
              <w:rPr>
                <w:b/>
                <w:bCs/>
                <w:color w:val="1FB7D1"/>
              </w:rPr>
              <w:t>Stap 4</w:t>
            </w:r>
            <w:r w:rsidR="000C68F9">
              <w:rPr>
                <w:b/>
                <w:bCs/>
                <w:color w:val="1FB7D1"/>
              </w:rPr>
              <w:t>. Beloningsbeleid</w:t>
            </w:r>
          </w:p>
        </w:tc>
        <w:tc>
          <w:tcPr>
            <w:tcW w:w="3119" w:type="dxa"/>
          </w:tcPr>
          <w:p w14:paraId="41801B41" w14:textId="4A79D8B2" w:rsidR="009536BE" w:rsidRDefault="000C68F9" w:rsidP="00AA1C54">
            <w:pPr>
              <w:spacing w:before="120" w:after="40"/>
            </w:pPr>
            <w:r w:rsidRPr="000C68F9">
              <w:t>Het opstellen en uitvoeren van een beloningsbelei</w:t>
            </w:r>
            <w:r>
              <w:t>d.</w:t>
            </w:r>
          </w:p>
        </w:tc>
        <w:tc>
          <w:tcPr>
            <w:tcW w:w="3008" w:type="dxa"/>
          </w:tcPr>
          <w:p w14:paraId="6AA26759" w14:textId="5BAF0FC4" w:rsidR="009536BE" w:rsidRDefault="004A7BFD" w:rsidP="00AA1C54">
            <w:pPr>
              <w:spacing w:before="120" w:after="40"/>
            </w:pPr>
            <w:r>
              <w:t>Beloningsbeleid is aan de werkgever zelf</w:t>
            </w:r>
            <w:r w:rsidR="004778D6">
              <w:t xml:space="preserve">. </w:t>
            </w:r>
          </w:p>
        </w:tc>
      </w:tr>
    </w:tbl>
    <w:p w14:paraId="65165F58" w14:textId="6F1A6EA9" w:rsidR="00262D72" w:rsidRDefault="00262D72">
      <w:pPr>
        <w:spacing w:before="120" w:after="40"/>
      </w:pPr>
    </w:p>
    <w:p w14:paraId="0D5A7237" w14:textId="77777777" w:rsidR="00AD773B" w:rsidRDefault="00AD773B">
      <w:pPr>
        <w:spacing w:after="60"/>
      </w:pPr>
    </w:p>
    <w:p w14:paraId="32B3B580" w14:textId="77777777" w:rsidR="00240B63" w:rsidRDefault="00240B63">
      <w:pPr>
        <w:rPr>
          <w:color w:val="1FB7D1"/>
          <w:sz w:val="40"/>
          <w:szCs w:val="40"/>
        </w:rPr>
      </w:pPr>
      <w:r>
        <w:br w:type="page"/>
      </w:r>
    </w:p>
    <w:p w14:paraId="43DDC120" w14:textId="77777777" w:rsidR="00821894" w:rsidRDefault="00821894" w:rsidP="00821894">
      <w:pPr>
        <w:pageBreakBefore/>
      </w:pPr>
      <w:r>
        <w:t>Publicatiedatum 29 mei 2026</w:t>
      </w:r>
    </w:p>
    <w:p w14:paraId="78B6090E" w14:textId="03570B6E" w:rsidR="00262D72" w:rsidRDefault="70F6D825" w:rsidP="00240B63">
      <w:pPr>
        <w:pStyle w:val="Heading1"/>
      </w:pPr>
      <w:r>
        <w:t xml:space="preserve">3. </w:t>
      </w:r>
      <w:r w:rsidR="00A2148A">
        <w:t xml:space="preserve">Voldoet </w:t>
      </w:r>
      <w:r w:rsidR="006037F0">
        <w:t xml:space="preserve">uw organisatie </w:t>
      </w:r>
      <w:r w:rsidR="00A2148A">
        <w:t>aan de eisen</w:t>
      </w:r>
      <w:r w:rsidR="00240B63">
        <w:t xml:space="preserve"> van de wet</w:t>
      </w:r>
      <w:r w:rsidR="00A2148A">
        <w:t>?</w:t>
      </w:r>
    </w:p>
    <w:p w14:paraId="6CF3FD52" w14:textId="02CA7FEC" w:rsidR="009D5721" w:rsidRDefault="009D3176">
      <w:pPr>
        <w:spacing w:before="60" w:after="100"/>
      </w:pPr>
      <w:r>
        <w:t xml:space="preserve">In de richtlijn staan </w:t>
      </w:r>
      <w:r w:rsidR="001A7124">
        <w:t xml:space="preserve">vijf </w:t>
      </w:r>
      <w:r w:rsidR="00240B63">
        <w:t>basiseisen</w:t>
      </w:r>
      <w:r w:rsidR="00132B18">
        <w:t xml:space="preserve"> genoemd</w:t>
      </w:r>
      <w:r w:rsidR="001A7124">
        <w:t xml:space="preserve">. Onderstaande tabel geeft </w:t>
      </w:r>
      <w:r w:rsidR="00A256B8">
        <w:t>aan wie welke verantwoordelijkheid heeft</w:t>
      </w:r>
      <w:r w:rsidR="001A7124">
        <w:t xml:space="preserve">. </w:t>
      </w:r>
    </w:p>
    <w:tbl>
      <w:tblPr>
        <w:tblStyle w:val="TableGrid"/>
        <w:tblW w:w="9634" w:type="dxa"/>
        <w:tblLook w:val="04A0" w:firstRow="1" w:lastRow="0" w:firstColumn="1" w:lastColumn="0" w:noHBand="0" w:noVBand="1"/>
      </w:tblPr>
      <w:tblGrid>
        <w:gridCol w:w="3491"/>
        <w:gridCol w:w="2883"/>
        <w:gridCol w:w="3260"/>
      </w:tblGrid>
      <w:tr w:rsidR="005B52B2" w:rsidRPr="004B469F" w14:paraId="3640CFE7" w14:textId="0493BB2C" w:rsidTr="005B52B2">
        <w:tc>
          <w:tcPr>
            <w:tcW w:w="3491" w:type="dxa"/>
          </w:tcPr>
          <w:p w14:paraId="659D33B1" w14:textId="48ADA1C8" w:rsidR="005B52B2" w:rsidRPr="004B469F" w:rsidRDefault="005B52B2" w:rsidP="005B52B2">
            <w:pPr>
              <w:spacing w:before="60" w:after="100"/>
              <w:rPr>
                <w:b/>
                <w:bCs/>
              </w:rPr>
            </w:pPr>
            <w:r w:rsidRPr="004B469F">
              <w:rPr>
                <w:b/>
                <w:bCs/>
              </w:rPr>
              <w:t>Basiseisen</w:t>
            </w:r>
          </w:p>
        </w:tc>
        <w:tc>
          <w:tcPr>
            <w:tcW w:w="2883" w:type="dxa"/>
          </w:tcPr>
          <w:p w14:paraId="5A59F2AD" w14:textId="6338EE79" w:rsidR="005B52B2" w:rsidRDefault="005B52B2" w:rsidP="005B52B2">
            <w:pPr>
              <w:spacing w:before="60" w:after="100"/>
              <w:rPr>
                <w:b/>
                <w:bCs/>
              </w:rPr>
            </w:pPr>
            <w:r>
              <w:rPr>
                <w:b/>
                <w:bCs/>
              </w:rPr>
              <w:t>Verantwoordelijkheid werkgever</w:t>
            </w:r>
          </w:p>
        </w:tc>
        <w:tc>
          <w:tcPr>
            <w:tcW w:w="3260" w:type="dxa"/>
          </w:tcPr>
          <w:p w14:paraId="5AD4F17B" w14:textId="6466D850" w:rsidR="005B52B2" w:rsidRPr="004B469F" w:rsidRDefault="005B52B2" w:rsidP="005B52B2">
            <w:pPr>
              <w:spacing w:before="60" w:after="100"/>
              <w:rPr>
                <w:b/>
                <w:bCs/>
              </w:rPr>
            </w:pPr>
            <w:r>
              <w:rPr>
                <w:b/>
                <w:bCs/>
              </w:rPr>
              <w:t xml:space="preserve">Verantwoordelijkheid </w:t>
            </w:r>
            <w:r w:rsidR="00525E20" w:rsidRPr="00525E20">
              <w:rPr>
                <w:b/>
                <w:bCs/>
              </w:rPr>
              <w:t>functiewaarderingssysteemhouder</w:t>
            </w:r>
            <w:r w:rsidR="00525E20" w:rsidRPr="004B469F">
              <w:rPr>
                <w:b/>
                <w:bCs/>
              </w:rPr>
              <w:t xml:space="preserve"> </w:t>
            </w:r>
            <w:r w:rsidRPr="004B469F">
              <w:rPr>
                <w:b/>
                <w:bCs/>
              </w:rPr>
              <w:t>HR21</w:t>
            </w:r>
          </w:p>
        </w:tc>
      </w:tr>
      <w:tr w:rsidR="005B52B2" w14:paraId="5A589829" w14:textId="13551DD4" w:rsidTr="005B52B2">
        <w:tc>
          <w:tcPr>
            <w:tcW w:w="3491" w:type="dxa"/>
          </w:tcPr>
          <w:p w14:paraId="6F74B10C" w14:textId="5ACBCD29" w:rsidR="005B52B2" w:rsidRDefault="005B52B2" w:rsidP="005B52B2">
            <w:pPr>
              <w:spacing w:before="60" w:after="100"/>
            </w:pPr>
            <w:r w:rsidRPr="009D5721">
              <w:t>Controleer of de functieomschrijving waarop de waardering gebaseerd is, actueel is</w:t>
            </w:r>
          </w:p>
        </w:tc>
        <w:tc>
          <w:tcPr>
            <w:tcW w:w="2883" w:type="dxa"/>
          </w:tcPr>
          <w:p w14:paraId="439B138C" w14:textId="77777777" w:rsidR="005B52B2" w:rsidRDefault="002F2C35" w:rsidP="005B52B2">
            <w:pPr>
              <w:spacing w:before="60" w:after="100"/>
            </w:pPr>
            <w:r>
              <w:t>De functieomschrijvingen zijn de verantwoordelijkheid van de werkgever. V</w:t>
            </w:r>
            <w:r w:rsidRPr="00CD2864">
              <w:t xml:space="preserve">oor elke medewerker </w:t>
            </w:r>
            <w:r>
              <w:t xml:space="preserve">moeten </w:t>
            </w:r>
            <w:r w:rsidRPr="00CD2864">
              <w:t xml:space="preserve">de feitelijke taken, verantwoordelijkheden en vereiste competenties in kaart </w:t>
            </w:r>
            <w:r>
              <w:t xml:space="preserve">worden gebracht. De feitelijke taken en verantwoordelijkheden kunnen worden vastgelegd in </w:t>
            </w:r>
            <w:r w:rsidRPr="00CD2864">
              <w:t>de taakinventarisaties</w:t>
            </w:r>
            <w:r>
              <w:t>.</w:t>
            </w:r>
            <w:r w:rsidRPr="00CD2864">
              <w:t> </w:t>
            </w:r>
            <w:r>
              <w:t>De competenties kunnen separaat worden vastgelegd.</w:t>
            </w:r>
          </w:p>
          <w:p w14:paraId="3C3C61FB" w14:textId="77777777" w:rsidR="000C1A01" w:rsidRDefault="000C1A01" w:rsidP="005B52B2">
            <w:pPr>
              <w:spacing w:before="60" w:after="100"/>
            </w:pPr>
          </w:p>
          <w:p w14:paraId="74440F7F" w14:textId="5AF94A2B" w:rsidR="000C1A01" w:rsidRDefault="00803E38" w:rsidP="005B52B2">
            <w:pPr>
              <w:spacing w:before="60" w:after="100"/>
            </w:pPr>
            <w:r>
              <w:t>Tip: L</w:t>
            </w:r>
            <w:r w:rsidR="000F6DBB">
              <w:t xml:space="preserve">eg in de procedureregeling vast hoe dit wordt vastgelegd. </w:t>
            </w:r>
          </w:p>
        </w:tc>
        <w:tc>
          <w:tcPr>
            <w:tcW w:w="3260" w:type="dxa"/>
          </w:tcPr>
          <w:p w14:paraId="6AB91B48" w14:textId="67D512ED" w:rsidR="005B52B2" w:rsidRPr="004B469F" w:rsidRDefault="005B52B2" w:rsidP="005B52B2">
            <w:pPr>
              <w:spacing w:before="60" w:after="100"/>
            </w:pPr>
            <w:r>
              <w:t>D</w:t>
            </w:r>
            <w:r w:rsidRPr="004B469F">
              <w:t>e normfuncties in HR21 zijn actueel</w:t>
            </w:r>
            <w:r>
              <w:t xml:space="preserve">. Deze worden samen met gebruikers en de beheercommissie periodiek geactualiseerd. </w:t>
            </w:r>
          </w:p>
        </w:tc>
      </w:tr>
      <w:tr w:rsidR="005B52B2" w14:paraId="53C71727" w14:textId="0514A3AC" w:rsidTr="005B52B2">
        <w:tc>
          <w:tcPr>
            <w:tcW w:w="3491" w:type="dxa"/>
          </w:tcPr>
          <w:p w14:paraId="4AE915DE" w14:textId="77777777" w:rsidR="005B52B2" w:rsidRDefault="005B52B2" w:rsidP="005B52B2">
            <w:pPr>
              <w:spacing w:before="60" w:after="100"/>
            </w:pPr>
            <w:r w:rsidRPr="009D5721">
              <w:t xml:space="preserve">Controleer of de functiewaarderingsmethode rekening houdt met </w:t>
            </w:r>
          </w:p>
          <w:p w14:paraId="7BA2BBD1" w14:textId="77777777" w:rsidR="005B52B2" w:rsidRDefault="005B52B2" w:rsidP="005B52B2">
            <w:pPr>
              <w:pStyle w:val="ListParagraph"/>
              <w:numPr>
                <w:ilvl w:val="0"/>
                <w:numId w:val="9"/>
              </w:numPr>
              <w:spacing w:before="60" w:after="100"/>
            </w:pPr>
            <w:r w:rsidRPr="009D5721">
              <w:t xml:space="preserve">genderneutrale </w:t>
            </w:r>
            <w:r>
              <w:t>criteria</w:t>
            </w:r>
          </w:p>
          <w:p w14:paraId="13D2322A" w14:textId="15E20BC3" w:rsidR="005B52B2" w:rsidRDefault="005B52B2" w:rsidP="005B52B2">
            <w:pPr>
              <w:pStyle w:val="ListParagraph"/>
              <w:numPr>
                <w:ilvl w:val="0"/>
                <w:numId w:val="9"/>
              </w:numPr>
              <w:spacing w:before="60" w:after="100"/>
            </w:pPr>
            <w:r w:rsidRPr="009D5721">
              <w:t>objectieve criteria. De criteria voor micro-, klein en middelgrote bedrijven betreft tenminste vaardigheden, inspanning, verantwoordelijkheden en arbeidsomstandigheden. Bedrijven vanaf 250 medewerkers dienen daarnaast expliciet, relevante werkervarings- en opleidingsvereisten mee te nemen</w:t>
            </w:r>
          </w:p>
        </w:tc>
        <w:tc>
          <w:tcPr>
            <w:tcW w:w="2883" w:type="dxa"/>
          </w:tcPr>
          <w:p w14:paraId="5C622031" w14:textId="537D14C4" w:rsidR="005B52B2" w:rsidRDefault="003256F7" w:rsidP="007C7498">
            <w:pPr>
              <w:spacing w:before="60" w:after="100"/>
            </w:pPr>
            <w:r>
              <w:t>Niet van toepassing</w:t>
            </w:r>
          </w:p>
        </w:tc>
        <w:tc>
          <w:tcPr>
            <w:tcW w:w="3260" w:type="dxa"/>
          </w:tcPr>
          <w:p w14:paraId="742FCFA7" w14:textId="4542C223" w:rsidR="00C44C3D" w:rsidRDefault="00C44C3D" w:rsidP="00C44C3D">
            <w:pPr>
              <w:spacing w:before="60" w:after="100"/>
            </w:pPr>
            <w:r>
              <w:t>Verantwoordelijkheid van de functiewaarderingssysteemhouder.</w:t>
            </w:r>
          </w:p>
          <w:p w14:paraId="5C361676" w14:textId="01C8173A" w:rsidR="005B52B2" w:rsidRDefault="005B52B2" w:rsidP="005B52B2">
            <w:pPr>
              <w:pStyle w:val="ListParagraph"/>
              <w:numPr>
                <w:ilvl w:val="0"/>
                <w:numId w:val="2"/>
              </w:numPr>
              <w:spacing w:before="60" w:after="100"/>
            </w:pPr>
            <w:r>
              <w:t xml:space="preserve">HR21 normfuncties zijn genderneutraal beschreven. Er wordt daarnaast getoetst op genderneutraliteit conform het document ‘De weegschaal gewogen’ zoals geadviseerd in de SZW handreiking. </w:t>
            </w:r>
          </w:p>
          <w:p w14:paraId="01DB43DD" w14:textId="7C1FCDAA" w:rsidR="005B52B2" w:rsidRDefault="005B52B2" w:rsidP="005B52B2">
            <w:pPr>
              <w:pStyle w:val="ListParagraph"/>
              <w:numPr>
                <w:ilvl w:val="0"/>
                <w:numId w:val="2"/>
              </w:numPr>
              <w:spacing w:before="60" w:after="100"/>
            </w:pPr>
            <w:r w:rsidRPr="006A7244">
              <w:t xml:space="preserve">Omdat </w:t>
            </w:r>
            <w:r>
              <w:t>HR21</w:t>
            </w:r>
            <w:r w:rsidRPr="006A7244">
              <w:t xml:space="preserve"> een sectoraal systeem </w:t>
            </w:r>
            <w:r>
              <w:t xml:space="preserve">is differentiëren we niet in de objectieve criteria. HR21 houdt rekening met </w:t>
            </w:r>
            <w:r w:rsidRPr="006A7244">
              <w:t xml:space="preserve">alle zes de </w:t>
            </w:r>
            <w:r>
              <w:t>criteria (</w:t>
            </w:r>
            <w:r w:rsidRPr="009D5721">
              <w:t>vaardigheden, inspanning, verantwoordelijkheden</w:t>
            </w:r>
            <w:r>
              <w:t xml:space="preserve">, </w:t>
            </w:r>
            <w:r w:rsidRPr="009D5721">
              <w:t>arbeidsomstandigheden</w:t>
            </w:r>
            <w:r>
              <w:t xml:space="preserve">, </w:t>
            </w:r>
            <w:r w:rsidRPr="009D5721">
              <w:t>relevante werkervarings- en opleidingsvereisten</w:t>
            </w:r>
            <w:r>
              <w:t>).</w:t>
            </w:r>
          </w:p>
        </w:tc>
      </w:tr>
      <w:tr w:rsidR="005B52B2" w14:paraId="4A07380E" w14:textId="2D3F85B7" w:rsidTr="005B52B2">
        <w:tc>
          <w:tcPr>
            <w:tcW w:w="3491" w:type="dxa"/>
          </w:tcPr>
          <w:p w14:paraId="17D010E9" w14:textId="1ED70082" w:rsidR="005B52B2" w:rsidRDefault="005B52B2" w:rsidP="005B52B2">
            <w:pPr>
              <w:spacing w:before="60" w:after="100"/>
            </w:pPr>
            <w:r w:rsidRPr="009D5721">
              <w:t>De functieomschrijvingen zijn afgestemd met OR, werknemersvertegenwoordigers of vakbondsvertegenwoordiging</w:t>
            </w:r>
          </w:p>
        </w:tc>
        <w:tc>
          <w:tcPr>
            <w:tcW w:w="2883" w:type="dxa"/>
          </w:tcPr>
          <w:p w14:paraId="69F27FBE" w14:textId="77777777" w:rsidR="005B52B2" w:rsidRDefault="007B6177" w:rsidP="005B52B2">
            <w:pPr>
              <w:spacing w:before="60" w:after="100"/>
            </w:pPr>
            <w:r>
              <w:t xml:space="preserve">Werk de functiebeschrijvingen periodiek en bij grote veranderingen bij en betrek de </w:t>
            </w:r>
            <w:r w:rsidR="00DA31DC">
              <w:t xml:space="preserve">ondernemingsraad / vakbondsvertegenwoordiging hierbij. </w:t>
            </w:r>
          </w:p>
          <w:p w14:paraId="0FACB234" w14:textId="06C1B260" w:rsidR="009B3308" w:rsidRDefault="001B1631" w:rsidP="005B52B2">
            <w:pPr>
              <w:spacing w:before="60" w:after="100"/>
            </w:pPr>
            <w:r>
              <w:t>D</w:t>
            </w:r>
            <w:r w:rsidRPr="008F60AF">
              <w:t>e normfunctie worden bij invoering of afstoting altijd voorgelegd aan een of meerdere van deze partijen. </w:t>
            </w:r>
          </w:p>
        </w:tc>
        <w:tc>
          <w:tcPr>
            <w:tcW w:w="3260" w:type="dxa"/>
          </w:tcPr>
          <w:p w14:paraId="242567AE" w14:textId="7B98A916" w:rsidR="005B52B2" w:rsidRDefault="005B52B2" w:rsidP="005B52B2">
            <w:pPr>
              <w:spacing w:before="60" w:after="100"/>
            </w:pPr>
          </w:p>
        </w:tc>
      </w:tr>
      <w:tr w:rsidR="005B52B2" w14:paraId="33895546" w14:textId="0E87A52E" w:rsidTr="005B52B2">
        <w:tc>
          <w:tcPr>
            <w:tcW w:w="3491" w:type="dxa"/>
          </w:tcPr>
          <w:p w14:paraId="11FE539F" w14:textId="4A491913" w:rsidR="005B52B2" w:rsidRDefault="005B52B2" w:rsidP="005B52B2">
            <w:pPr>
              <w:spacing w:before="60" w:after="100"/>
            </w:pPr>
            <w:r w:rsidRPr="009D5721">
              <w:t>De waardering van functies wordt periodiek (bij voorkeur elke 2 à 3 jaar) bijgewerkt</w:t>
            </w:r>
          </w:p>
        </w:tc>
        <w:tc>
          <w:tcPr>
            <w:tcW w:w="2883" w:type="dxa"/>
          </w:tcPr>
          <w:p w14:paraId="39FBD145" w14:textId="00F2E4D4" w:rsidR="005B52B2" w:rsidRDefault="002D34E6" w:rsidP="005B52B2">
            <w:pPr>
              <w:spacing w:before="60" w:after="100"/>
            </w:pPr>
            <w:r>
              <w:t xml:space="preserve">Indeling van </w:t>
            </w:r>
            <w:r w:rsidR="00815C59">
              <w:t xml:space="preserve">de functiebeelden in de normfuncties dient elke werkgever zelf periodiek actueel te houden. </w:t>
            </w:r>
          </w:p>
        </w:tc>
        <w:tc>
          <w:tcPr>
            <w:tcW w:w="3260" w:type="dxa"/>
          </w:tcPr>
          <w:p w14:paraId="64DAA8C4" w14:textId="32030C4E" w:rsidR="005B52B2" w:rsidRDefault="005B52B2" w:rsidP="005B52B2">
            <w:pPr>
              <w:spacing w:before="60" w:after="100"/>
            </w:pPr>
            <w:r>
              <w:t>D</w:t>
            </w:r>
            <w:r w:rsidRPr="004B469F">
              <w:t>e normfuncties in HR21 zijn actueel</w:t>
            </w:r>
            <w:r>
              <w:t xml:space="preserve">. Deze worden samen met gebruikers en de beheercommissie periodiek geactualiseerd. De waardering wordt dan getoetst. </w:t>
            </w:r>
            <w:r w:rsidRPr="00FF6C96">
              <w:t> </w:t>
            </w:r>
          </w:p>
        </w:tc>
      </w:tr>
      <w:tr w:rsidR="005B52B2" w14:paraId="2D39AF90" w14:textId="73D34118" w:rsidTr="005B52B2">
        <w:tc>
          <w:tcPr>
            <w:tcW w:w="3491" w:type="dxa"/>
          </w:tcPr>
          <w:p w14:paraId="370CF511" w14:textId="289C0B80" w:rsidR="005B52B2" w:rsidRPr="009D5721" w:rsidRDefault="005B52B2" w:rsidP="005B52B2">
            <w:pPr>
              <w:spacing w:before="60" w:after="100"/>
            </w:pPr>
            <w:r w:rsidRPr="009D5721">
              <w:t>Het volledige proces is gedocumenteerd en controleerbaar</w:t>
            </w:r>
            <w:r>
              <w:t xml:space="preserve">. </w:t>
            </w:r>
          </w:p>
          <w:p w14:paraId="369931C0" w14:textId="072254BC" w:rsidR="005B52B2" w:rsidRDefault="005B52B2" w:rsidP="005B52B2">
            <w:pPr>
              <w:spacing w:before="60" w:after="100"/>
            </w:pPr>
            <w:r w:rsidRPr="009D5721">
              <w:t> </w:t>
            </w:r>
          </w:p>
        </w:tc>
        <w:tc>
          <w:tcPr>
            <w:tcW w:w="2883" w:type="dxa"/>
          </w:tcPr>
          <w:p w14:paraId="2B6C9C7D" w14:textId="090D6BA3" w:rsidR="005B52B2" w:rsidRPr="007B220A" w:rsidRDefault="009F5982" w:rsidP="005B52B2">
            <w:pPr>
              <w:spacing w:before="60" w:after="100"/>
            </w:pPr>
            <w:r>
              <w:t xml:space="preserve">De werkgever doet dit zelf door middel van onder andere de procedureregeling. </w:t>
            </w:r>
          </w:p>
        </w:tc>
        <w:tc>
          <w:tcPr>
            <w:tcW w:w="3260" w:type="dxa"/>
          </w:tcPr>
          <w:p w14:paraId="2E166BFE" w14:textId="6052D83A" w:rsidR="005B52B2" w:rsidRDefault="005B52B2" w:rsidP="005B52B2">
            <w:pPr>
              <w:spacing w:before="60" w:after="100"/>
            </w:pPr>
            <w:r w:rsidRPr="007B220A">
              <w:t>Leeuwendaal</w:t>
            </w:r>
            <w:r w:rsidRPr="009D5721">
              <w:rPr>
                <w:b/>
                <w:bCs/>
              </w:rPr>
              <w:t xml:space="preserve"> </w:t>
            </w:r>
            <w:r w:rsidRPr="007B220A">
              <w:t xml:space="preserve">houdt </w:t>
            </w:r>
            <w:r>
              <w:t>met ingang van ju</w:t>
            </w:r>
            <w:r w:rsidR="00D677AF">
              <w:t>l</w:t>
            </w:r>
            <w:r>
              <w:t xml:space="preserve">i 2026 een activiteitenkalender bij en zorgt periodiek voor rapportage op bovengenoemde elementen. </w:t>
            </w:r>
          </w:p>
        </w:tc>
      </w:tr>
    </w:tbl>
    <w:p w14:paraId="452EECFC" w14:textId="77777777" w:rsidR="009D5721" w:rsidRDefault="009D5721">
      <w:pPr>
        <w:spacing w:before="60" w:after="100"/>
      </w:pPr>
    </w:p>
    <w:p w14:paraId="23B6D36A" w14:textId="2E9B4249" w:rsidR="00B6790C" w:rsidRDefault="00B6790C"/>
    <w:p w14:paraId="32829842" w14:textId="5EBC4D2C" w:rsidR="49292129" w:rsidRDefault="49292129">
      <w:r>
        <w:br w:type="page"/>
      </w:r>
    </w:p>
    <w:p w14:paraId="2106E246" w14:textId="77777777" w:rsidR="00FD37C4" w:rsidRDefault="00FD37C4" w:rsidP="00FD37C4">
      <w:pPr>
        <w:pageBreakBefore/>
      </w:pPr>
      <w:r>
        <w:t>Publicatiedatum 29 mei 2026</w:t>
      </w:r>
    </w:p>
    <w:p w14:paraId="4CA8E0E1" w14:textId="47FA4CBA" w:rsidR="47D9F1E8" w:rsidRDefault="389DD501" w:rsidP="51209282">
      <w:pPr>
        <w:pStyle w:val="Heading1"/>
        <w:spacing w:line="259" w:lineRule="auto"/>
      </w:pPr>
      <w:r>
        <w:t xml:space="preserve">4. </w:t>
      </w:r>
      <w:r w:rsidR="2B8F75C2">
        <w:t>Welke stappen?</w:t>
      </w:r>
    </w:p>
    <w:p w14:paraId="5330B0B3" w14:textId="75225272" w:rsidR="4C33DD8B" w:rsidRDefault="4C33DD8B" w:rsidP="4C33DD8B">
      <w:pPr>
        <w:pBdr>
          <w:bottom w:val="single" w:sz="4" w:space="1" w:color="1FB7D1"/>
        </w:pBdr>
        <w:spacing w:before="160" w:after="160"/>
      </w:pPr>
    </w:p>
    <w:p w14:paraId="080C497E" w14:textId="73CBD184" w:rsidR="47D9F1E8" w:rsidRDefault="431C6627" w:rsidP="417A4CDE">
      <w:pPr>
        <w:spacing w:before="40" w:after="40" w:line="259" w:lineRule="auto"/>
      </w:pPr>
      <w:r>
        <w:t>De SZW Handreiking stelt dat werkgevers die de functiewaardering uitbesteden aan grotere erkende systeemhouders in grote lijnen aan de Richtlijn voldoen. Welke zaken moet de werkgever nog op letten</w:t>
      </w:r>
      <w:r w:rsidR="048AB1C0">
        <w:t>, gerelateerd aan HR21</w:t>
      </w:r>
      <w:r>
        <w:t>? Hieronder enkele aandachtspunten. Deze worden regelmatig bijge</w:t>
      </w:r>
      <w:r w:rsidR="0708AA41">
        <w:t xml:space="preserve">werkt en aangevuld. </w:t>
      </w:r>
    </w:p>
    <w:p w14:paraId="38AC98D1" w14:textId="5823B53A" w:rsidR="47D9F1E8" w:rsidRDefault="47D9F1E8" w:rsidP="1A97F9F5">
      <w:pPr>
        <w:pStyle w:val="Heading2"/>
        <w:spacing w:line="259" w:lineRule="auto"/>
      </w:pPr>
      <w:r w:rsidRPr="4C33DD8B">
        <w:t xml:space="preserve">Welke stappen moet een </w:t>
      </w:r>
      <w:r w:rsidR="6C1D4B34">
        <w:t xml:space="preserve">werkgever </w:t>
      </w:r>
      <w:r w:rsidR="061310C2">
        <w:t xml:space="preserve">onder andere </w:t>
      </w:r>
      <w:r>
        <w:t>zetten</w:t>
      </w:r>
      <w:r w:rsidRPr="4C33DD8B">
        <w:t>?</w:t>
      </w:r>
      <w:r w:rsidR="62456C1A">
        <w:t xml:space="preserve"> </w:t>
      </w:r>
    </w:p>
    <w:p w14:paraId="68790B15" w14:textId="1AAEB7EA" w:rsidR="47D9F1E8" w:rsidRDefault="52B5F3BD" w:rsidP="4C33DD8B">
      <w:pPr>
        <w:pStyle w:val="ListParagraph"/>
        <w:numPr>
          <w:ilvl w:val="0"/>
          <w:numId w:val="11"/>
        </w:numPr>
        <w:spacing w:before="40" w:after="40"/>
      </w:pPr>
      <w:r>
        <w:t xml:space="preserve">Controleer of </w:t>
      </w:r>
      <w:r w:rsidR="43C13299">
        <w:t>de functieomschrijvingen (bijvoorbeeld een t</w:t>
      </w:r>
      <w:r w:rsidR="43C13299" w:rsidRPr="10B973D4">
        <w:t>aakinventarisatie</w:t>
      </w:r>
      <w:r w:rsidR="43C13299">
        <w:t>)</w:t>
      </w:r>
      <w:r w:rsidR="1558C8E8">
        <w:t xml:space="preserve"> actueel en genderneutraal opgesteld zijn</w:t>
      </w:r>
      <w:r w:rsidR="1976A334">
        <w:t xml:space="preserve"> en conform de criteria uit de handreiking SZW</w:t>
      </w:r>
      <w:r w:rsidR="43C13299">
        <w:t xml:space="preserve">. </w:t>
      </w:r>
    </w:p>
    <w:p w14:paraId="17D61C7E" w14:textId="1715DDF2" w:rsidR="47D9F1E8" w:rsidRDefault="2681AC80" w:rsidP="4C33DD8B">
      <w:pPr>
        <w:pStyle w:val="ListParagraph"/>
        <w:numPr>
          <w:ilvl w:val="0"/>
          <w:numId w:val="11"/>
        </w:numPr>
        <w:spacing w:before="40" w:after="40"/>
      </w:pPr>
      <w:r>
        <w:t>Controleer of naamgeving van roepnamen genderneutraal zijn</w:t>
      </w:r>
      <w:r w:rsidR="38D88642">
        <w:t>.</w:t>
      </w:r>
    </w:p>
    <w:p w14:paraId="0A5CE7AA" w14:textId="14352649" w:rsidR="47D9F1E8" w:rsidRDefault="47D9F1E8" w:rsidP="4C33DD8B">
      <w:pPr>
        <w:pStyle w:val="ListParagraph"/>
        <w:numPr>
          <w:ilvl w:val="0"/>
          <w:numId w:val="11"/>
        </w:numPr>
        <w:spacing w:before="40" w:after="40"/>
      </w:pPr>
      <w:r w:rsidRPr="4C33DD8B">
        <w:t>Controleer of alle functies zijn ingedeeld via HR21</w:t>
      </w:r>
      <w:r w:rsidR="4BB27CC6">
        <w:t>.</w:t>
      </w:r>
      <w:r w:rsidRPr="4C33DD8B">
        <w:t xml:space="preserve"> </w:t>
      </w:r>
    </w:p>
    <w:p w14:paraId="427308E1" w14:textId="62099ABB" w:rsidR="47D9F1E8" w:rsidRDefault="47D9F1E8" w:rsidP="4C33DD8B">
      <w:pPr>
        <w:pStyle w:val="ListParagraph"/>
        <w:numPr>
          <w:ilvl w:val="0"/>
          <w:numId w:val="11"/>
        </w:numPr>
        <w:spacing w:before="40" w:after="40"/>
      </w:pPr>
      <w:r w:rsidRPr="4C33DD8B">
        <w:t>Documenteer het gehele proces controleerbaar, inclusief betrokkenheid van OR of werknemersvertegenwoordiging</w:t>
      </w:r>
      <w:r w:rsidR="4961B0F1">
        <w:t xml:space="preserve"> (bijvoorbeeld door middel van de procedureregeling)</w:t>
      </w:r>
      <w:r>
        <w:t>.</w:t>
      </w:r>
    </w:p>
    <w:p w14:paraId="10C492EF" w14:textId="451BFD3D" w:rsidR="47D9F1E8" w:rsidRDefault="364E8659" w:rsidP="4C33DD8B">
      <w:pPr>
        <w:pStyle w:val="Heading2"/>
      </w:pPr>
      <w:r>
        <w:t xml:space="preserve">Welke stappen </w:t>
      </w:r>
      <w:r w:rsidR="0095089E">
        <w:t>zet</w:t>
      </w:r>
      <w:r>
        <w:t xml:space="preserve"> Leeuwendaal </w:t>
      </w:r>
      <w:r w:rsidR="00FD3DAC">
        <w:t>de ko</w:t>
      </w:r>
      <w:r w:rsidR="00AF2648">
        <w:t>mende pe</w:t>
      </w:r>
      <w:r w:rsidR="00DD7CD1">
        <w:t>riode</w:t>
      </w:r>
      <w:r>
        <w:t xml:space="preserve">? </w:t>
      </w:r>
    </w:p>
    <w:p w14:paraId="2BAFFCB8" w14:textId="2FF06D57" w:rsidR="47D9F1E8" w:rsidRDefault="47D9F1E8" w:rsidP="695FBA13">
      <w:pPr>
        <w:pStyle w:val="ListParagraph"/>
        <w:numPr>
          <w:ilvl w:val="0"/>
          <w:numId w:val="11"/>
        </w:numPr>
        <w:spacing w:before="40" w:after="40" w:line="259" w:lineRule="auto"/>
      </w:pPr>
      <w:r w:rsidRPr="4C33DD8B">
        <w:t>Leeuwendaal monitort de ontwikkelingen doorlopend en verzamelt FAQ's voor de HR21-website.</w:t>
      </w:r>
    </w:p>
    <w:p w14:paraId="17349153" w14:textId="0886B3D4" w:rsidR="47D9F1E8" w:rsidRDefault="47D9F1E8" w:rsidP="712A40D6">
      <w:pPr>
        <w:pStyle w:val="ListParagraph"/>
        <w:numPr>
          <w:ilvl w:val="0"/>
          <w:numId w:val="11"/>
        </w:numPr>
        <w:spacing w:before="40" w:after="40" w:line="259" w:lineRule="auto"/>
      </w:pPr>
      <w:r w:rsidRPr="4C33DD8B">
        <w:t>Communicatie vindt ook plaats via trainingen, terugkomdagen en de HR21-nieuwsbrief.</w:t>
      </w:r>
    </w:p>
    <w:p w14:paraId="4F0C0293" w14:textId="107DFFD6" w:rsidR="2934E07C" w:rsidRDefault="00087699" w:rsidP="2934E07C">
      <w:pPr>
        <w:pStyle w:val="ListParagraph"/>
        <w:numPr>
          <w:ilvl w:val="0"/>
          <w:numId w:val="11"/>
        </w:numPr>
        <w:spacing w:before="40" w:after="40" w:line="259" w:lineRule="auto"/>
      </w:pPr>
      <w:r>
        <w:t>Ver</w:t>
      </w:r>
      <w:r w:rsidR="004A2A98">
        <w:t>antwoor</w:t>
      </w:r>
      <w:r w:rsidR="001F252D">
        <w:t>dingsra</w:t>
      </w:r>
      <w:r w:rsidR="00C80BF4">
        <w:t>pportag</w:t>
      </w:r>
      <w:r w:rsidR="00412F3B">
        <w:t xml:space="preserve">e </w:t>
      </w:r>
      <w:r w:rsidR="005A6E59">
        <w:t>g</w:t>
      </w:r>
      <w:r w:rsidR="0001626B">
        <w:t>ender</w:t>
      </w:r>
      <w:r w:rsidR="00820AED">
        <w:t>neutral</w:t>
      </w:r>
      <w:r w:rsidR="00236E57">
        <w:t>iteit</w:t>
      </w:r>
      <w:r w:rsidR="00611BF2">
        <w:t>stoe</w:t>
      </w:r>
      <w:r w:rsidR="00D55861">
        <w:t xml:space="preserve">ts </w:t>
      </w:r>
      <w:r w:rsidR="00AB6818">
        <w:t>pu</w:t>
      </w:r>
      <w:r w:rsidR="00120FBB">
        <w:t>bliceren</w:t>
      </w:r>
      <w:r w:rsidR="00625802">
        <w:t>.</w:t>
      </w:r>
    </w:p>
    <w:p w14:paraId="27E0618C" w14:textId="56EB49D5" w:rsidR="00CB5B6F" w:rsidRDefault="00CB5B6F" w:rsidP="00CB5B6F">
      <w:pPr>
        <w:pStyle w:val="ListParagraph"/>
        <w:numPr>
          <w:ilvl w:val="0"/>
          <w:numId w:val="11"/>
        </w:numPr>
        <w:spacing w:before="40" w:after="40" w:line="259" w:lineRule="auto"/>
      </w:pPr>
      <w:r>
        <w:t xml:space="preserve">Verantwoordingsrapportage </w:t>
      </w:r>
      <w:r w:rsidR="00915776">
        <w:t>objectieve</w:t>
      </w:r>
      <w:r w:rsidR="00781B18">
        <w:t xml:space="preserve"> </w:t>
      </w:r>
      <w:r w:rsidR="00011BC1">
        <w:t>cr</w:t>
      </w:r>
      <w:r w:rsidR="00062E74">
        <w:t xml:space="preserve">iteria </w:t>
      </w:r>
      <w:r>
        <w:t>publiceren.</w:t>
      </w:r>
    </w:p>
    <w:p w14:paraId="170B4EF2" w14:textId="54A2CF4F" w:rsidR="00CB5B6F" w:rsidRDefault="00E415D3" w:rsidP="2934E07C">
      <w:pPr>
        <w:pStyle w:val="ListParagraph"/>
        <w:numPr>
          <w:ilvl w:val="0"/>
          <w:numId w:val="11"/>
        </w:numPr>
        <w:spacing w:before="40" w:after="40" w:line="259" w:lineRule="auto"/>
      </w:pPr>
      <w:r w:rsidRPr="007B220A">
        <w:t>Leeuwendaal</w:t>
      </w:r>
      <w:r w:rsidRPr="009D5721">
        <w:rPr>
          <w:b/>
          <w:bCs/>
        </w:rPr>
        <w:t xml:space="preserve"> </w:t>
      </w:r>
      <w:r w:rsidRPr="007B220A">
        <w:t xml:space="preserve">houdt </w:t>
      </w:r>
      <w:r>
        <w:t>met ingang van juli 2026 een activiteitenkalender bij en zorgt periodiek voor rapportage op bovengenoemde elementen.</w:t>
      </w:r>
    </w:p>
    <w:p w14:paraId="26722CAC" w14:textId="1B6544C1" w:rsidR="4C33DD8B" w:rsidRDefault="4C33DD8B" w:rsidP="4C33DD8B"/>
    <w:p w14:paraId="72B8871F" w14:textId="28FFEBD3" w:rsidR="00B6790C" w:rsidRDefault="00B6790C"/>
    <w:sectPr w:rsidR="00B6790C">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EE69E" w14:textId="77777777" w:rsidR="001C7A7A" w:rsidRDefault="001C7A7A">
      <w:r>
        <w:separator/>
      </w:r>
    </w:p>
  </w:endnote>
  <w:endnote w:type="continuationSeparator" w:id="0">
    <w:p w14:paraId="6752302E" w14:textId="77777777" w:rsidR="001C7A7A" w:rsidRDefault="001C7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0000000000000000000"/>
    <w:charset w:val="00"/>
    <w:family w:val="roman"/>
    <w:notTrueType/>
    <w:pitch w:val="default"/>
  </w:font>
  <w:font w:name="Yu Mincho">
    <w:altName w:val="游明朝"/>
    <w:panose1 w:val="00000000000000000000"/>
    <w:charset w:val="80"/>
    <w:family w:val="roman"/>
    <w:notTrueType/>
    <w:pitch w:val="default"/>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3F1E2" w14:textId="508A3910" w:rsidR="00BF3220" w:rsidRDefault="00BF3220">
    <w:pPr>
      <w:pBdr>
        <w:top w:val="single" w:sz="4" w:space="4" w:color="1FB7D1"/>
      </w:pBdr>
      <w:tabs>
        <w:tab w:val="right" w:pos="9026"/>
      </w:tabs>
      <w:spacing w:before="120"/>
    </w:pPr>
    <w:r>
      <w:rPr>
        <w:color w:val="888888"/>
        <w:sz w:val="16"/>
        <w:szCs w:val="16"/>
      </w:rPr>
      <w:t>Winthontlaan 1 | 3526 KV Utrecht | Leeuwendaal.nl</w:t>
    </w:r>
    <w:r>
      <w:rPr>
        <w:sz w:val="16"/>
        <w:szCs w:val="16"/>
      </w:rPr>
      <w:tab/>
    </w:r>
    <w:r>
      <w:rPr>
        <w:color w:val="888888"/>
        <w:sz w:val="16"/>
        <w:szCs w:val="16"/>
      </w:rPr>
      <w:t xml:space="preserve">Pagina </w:t>
    </w:r>
    <w:r>
      <w:rPr>
        <w:color w:val="888888"/>
        <w:sz w:val="16"/>
        <w:szCs w:val="16"/>
      </w:rPr>
      <w:fldChar w:fldCharType="begin"/>
    </w:r>
    <w:r>
      <w:rPr>
        <w:color w:val="888888"/>
        <w:sz w:val="16"/>
        <w:szCs w:val="16"/>
      </w:rPr>
      <w:instrText>PAGE</w:instrText>
    </w:r>
    <w:r>
      <w:rPr>
        <w:color w:val="888888"/>
        <w:sz w:val="16"/>
        <w:szCs w:val="16"/>
      </w:rPr>
      <w:fldChar w:fldCharType="separate"/>
    </w:r>
    <w:r>
      <w:rPr>
        <w:noProof/>
        <w:color w:val="888888"/>
        <w:sz w:val="16"/>
        <w:szCs w:val="16"/>
      </w:rPr>
      <w:t>1</w:t>
    </w:r>
    <w:r>
      <w:rPr>
        <w:color w:val="888888"/>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3DCBC" w14:textId="77777777" w:rsidR="001C7A7A" w:rsidRDefault="001C7A7A">
      <w:r>
        <w:separator/>
      </w:r>
    </w:p>
  </w:footnote>
  <w:footnote w:type="continuationSeparator" w:id="0">
    <w:p w14:paraId="4649EADE" w14:textId="77777777" w:rsidR="001C7A7A" w:rsidRDefault="001C7A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1B16D" w14:textId="77777777" w:rsidR="00BF3220" w:rsidRDefault="00BF3220">
    <w:pPr>
      <w:pBdr>
        <w:bottom w:val="single" w:sz="4" w:space="4" w:color="1FB7D1"/>
      </w:pBdr>
      <w:spacing w:after="120"/>
    </w:pPr>
    <w:r>
      <w:rPr>
        <w:color w:val="888888"/>
        <w:sz w:val="18"/>
        <w:szCs w:val="18"/>
      </w:rPr>
      <w:t>FAQ Wet Loontransparantie &amp; HR21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6C3"/>
    <w:multiLevelType w:val="hybridMultilevel"/>
    <w:tmpl w:val="E2208B82"/>
    <w:lvl w:ilvl="0" w:tplc="7A1CE5E6">
      <w:start w:val="1"/>
      <w:numFmt w:val="decimal"/>
      <w:lvlText w:val="%1."/>
      <w:lvlJc w:val="left"/>
      <w:pPr>
        <w:ind w:left="720" w:hanging="360"/>
      </w:pPr>
    </w:lvl>
    <w:lvl w:ilvl="1" w:tplc="31A2A332">
      <w:numFmt w:val="decimal"/>
      <w:lvlText w:val=""/>
      <w:lvlJc w:val="left"/>
    </w:lvl>
    <w:lvl w:ilvl="2" w:tplc="4FB446E8">
      <w:numFmt w:val="decimal"/>
      <w:lvlText w:val=""/>
      <w:lvlJc w:val="left"/>
    </w:lvl>
    <w:lvl w:ilvl="3" w:tplc="951E2D5A">
      <w:numFmt w:val="decimal"/>
      <w:lvlText w:val=""/>
      <w:lvlJc w:val="left"/>
    </w:lvl>
    <w:lvl w:ilvl="4" w:tplc="567C5BEE">
      <w:numFmt w:val="decimal"/>
      <w:lvlText w:val=""/>
      <w:lvlJc w:val="left"/>
    </w:lvl>
    <w:lvl w:ilvl="5" w:tplc="0B367A52">
      <w:numFmt w:val="decimal"/>
      <w:lvlText w:val=""/>
      <w:lvlJc w:val="left"/>
    </w:lvl>
    <w:lvl w:ilvl="6" w:tplc="2B3AD076">
      <w:numFmt w:val="decimal"/>
      <w:lvlText w:val=""/>
      <w:lvlJc w:val="left"/>
    </w:lvl>
    <w:lvl w:ilvl="7" w:tplc="FFD42456">
      <w:numFmt w:val="decimal"/>
      <w:lvlText w:val=""/>
      <w:lvlJc w:val="left"/>
    </w:lvl>
    <w:lvl w:ilvl="8" w:tplc="83DCF08C">
      <w:numFmt w:val="decimal"/>
      <w:lvlText w:val=""/>
      <w:lvlJc w:val="left"/>
    </w:lvl>
  </w:abstractNum>
  <w:abstractNum w:abstractNumId="1" w15:restartNumberingAfterBreak="0">
    <w:nsid w:val="02C86678"/>
    <w:multiLevelType w:val="multilevel"/>
    <w:tmpl w:val="89946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DE3BC8"/>
    <w:multiLevelType w:val="hybridMultilevel"/>
    <w:tmpl w:val="B0762914"/>
    <w:lvl w:ilvl="0" w:tplc="4652058E">
      <w:start w:val="1"/>
      <w:numFmt w:val="bullet"/>
      <w:lvlText w:val="●"/>
      <w:lvlJc w:val="left"/>
      <w:pPr>
        <w:ind w:left="720" w:hanging="360"/>
      </w:pPr>
    </w:lvl>
    <w:lvl w:ilvl="1" w:tplc="9BD84A2A">
      <w:start w:val="1"/>
      <w:numFmt w:val="bullet"/>
      <w:lvlText w:val="○"/>
      <w:lvlJc w:val="left"/>
      <w:pPr>
        <w:ind w:left="1440" w:hanging="360"/>
      </w:pPr>
    </w:lvl>
    <w:lvl w:ilvl="2" w:tplc="89BA3FDE">
      <w:start w:val="1"/>
      <w:numFmt w:val="bullet"/>
      <w:lvlText w:val="■"/>
      <w:lvlJc w:val="left"/>
      <w:pPr>
        <w:ind w:left="2160" w:hanging="360"/>
      </w:pPr>
    </w:lvl>
    <w:lvl w:ilvl="3" w:tplc="82102A94">
      <w:start w:val="1"/>
      <w:numFmt w:val="bullet"/>
      <w:lvlText w:val="●"/>
      <w:lvlJc w:val="left"/>
      <w:pPr>
        <w:ind w:left="2880" w:hanging="360"/>
      </w:pPr>
    </w:lvl>
    <w:lvl w:ilvl="4" w:tplc="CEAE68D6">
      <w:start w:val="1"/>
      <w:numFmt w:val="bullet"/>
      <w:lvlText w:val="○"/>
      <w:lvlJc w:val="left"/>
      <w:pPr>
        <w:ind w:left="3600" w:hanging="360"/>
      </w:pPr>
    </w:lvl>
    <w:lvl w:ilvl="5" w:tplc="7820C3EC">
      <w:start w:val="1"/>
      <w:numFmt w:val="bullet"/>
      <w:lvlText w:val="■"/>
      <w:lvlJc w:val="left"/>
      <w:pPr>
        <w:ind w:left="4320" w:hanging="360"/>
      </w:pPr>
    </w:lvl>
    <w:lvl w:ilvl="6" w:tplc="AA5C3162">
      <w:start w:val="1"/>
      <w:numFmt w:val="bullet"/>
      <w:lvlText w:val="●"/>
      <w:lvlJc w:val="left"/>
      <w:pPr>
        <w:ind w:left="5040" w:hanging="360"/>
      </w:pPr>
    </w:lvl>
    <w:lvl w:ilvl="7" w:tplc="DB40AAF6">
      <w:start w:val="1"/>
      <w:numFmt w:val="bullet"/>
      <w:lvlText w:val="●"/>
      <w:lvlJc w:val="left"/>
      <w:pPr>
        <w:ind w:left="5760" w:hanging="360"/>
      </w:pPr>
    </w:lvl>
    <w:lvl w:ilvl="8" w:tplc="2FE6E624">
      <w:start w:val="1"/>
      <w:numFmt w:val="bullet"/>
      <w:lvlText w:val="●"/>
      <w:lvlJc w:val="left"/>
      <w:pPr>
        <w:ind w:left="6480" w:hanging="360"/>
      </w:pPr>
    </w:lvl>
  </w:abstractNum>
  <w:abstractNum w:abstractNumId="3" w15:restartNumberingAfterBreak="0">
    <w:nsid w:val="16BF5E12"/>
    <w:multiLevelType w:val="multilevel"/>
    <w:tmpl w:val="34BEA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B9F585C"/>
    <w:multiLevelType w:val="multilevel"/>
    <w:tmpl w:val="1E9E0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555E39"/>
    <w:multiLevelType w:val="multilevel"/>
    <w:tmpl w:val="EAC2C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A431257"/>
    <w:multiLevelType w:val="hybridMultilevel"/>
    <w:tmpl w:val="C4381298"/>
    <w:lvl w:ilvl="0" w:tplc="7396BFD4">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27F5E60"/>
    <w:multiLevelType w:val="hybridMultilevel"/>
    <w:tmpl w:val="C994CDC2"/>
    <w:lvl w:ilvl="0" w:tplc="002E3D6A">
      <w:start w:val="1"/>
      <w:numFmt w:val="bullet"/>
      <w:lvlText w:val="•"/>
      <w:lvlJc w:val="left"/>
      <w:pPr>
        <w:ind w:left="720" w:hanging="360"/>
      </w:pPr>
    </w:lvl>
    <w:lvl w:ilvl="1" w:tplc="7FAA3554">
      <w:numFmt w:val="decimal"/>
      <w:lvlText w:val=""/>
      <w:lvlJc w:val="left"/>
    </w:lvl>
    <w:lvl w:ilvl="2" w:tplc="59F6B160">
      <w:numFmt w:val="decimal"/>
      <w:lvlText w:val=""/>
      <w:lvlJc w:val="left"/>
    </w:lvl>
    <w:lvl w:ilvl="3" w:tplc="66345AF0">
      <w:numFmt w:val="decimal"/>
      <w:lvlText w:val=""/>
      <w:lvlJc w:val="left"/>
    </w:lvl>
    <w:lvl w:ilvl="4" w:tplc="2D6847CA">
      <w:numFmt w:val="decimal"/>
      <w:lvlText w:val=""/>
      <w:lvlJc w:val="left"/>
    </w:lvl>
    <w:lvl w:ilvl="5" w:tplc="A47CD24E">
      <w:numFmt w:val="decimal"/>
      <w:lvlText w:val=""/>
      <w:lvlJc w:val="left"/>
    </w:lvl>
    <w:lvl w:ilvl="6" w:tplc="8E280A96">
      <w:numFmt w:val="decimal"/>
      <w:lvlText w:val=""/>
      <w:lvlJc w:val="left"/>
    </w:lvl>
    <w:lvl w:ilvl="7" w:tplc="667E45E8">
      <w:numFmt w:val="decimal"/>
      <w:lvlText w:val=""/>
      <w:lvlJc w:val="left"/>
    </w:lvl>
    <w:lvl w:ilvl="8" w:tplc="3DCC3618">
      <w:numFmt w:val="decimal"/>
      <w:lvlText w:val=""/>
      <w:lvlJc w:val="left"/>
    </w:lvl>
  </w:abstractNum>
  <w:abstractNum w:abstractNumId="8" w15:restartNumberingAfterBreak="0">
    <w:nsid w:val="381F39C9"/>
    <w:multiLevelType w:val="hybridMultilevel"/>
    <w:tmpl w:val="B518019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4D185F1E"/>
    <w:multiLevelType w:val="multilevel"/>
    <w:tmpl w:val="8A7C3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F960615"/>
    <w:multiLevelType w:val="multilevel"/>
    <w:tmpl w:val="E910D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6E01AEB"/>
    <w:multiLevelType w:val="hybridMultilevel"/>
    <w:tmpl w:val="FFFFFFFF"/>
    <w:lvl w:ilvl="0" w:tplc="5874CDA4">
      <w:start w:val="1"/>
      <w:numFmt w:val="bullet"/>
      <w:lvlText w:val=""/>
      <w:lvlJc w:val="left"/>
      <w:pPr>
        <w:ind w:left="720" w:hanging="360"/>
      </w:pPr>
      <w:rPr>
        <w:rFonts w:ascii="Symbol" w:hAnsi="Symbol" w:hint="default"/>
      </w:rPr>
    </w:lvl>
    <w:lvl w:ilvl="1" w:tplc="851C1ACC">
      <w:start w:val="1"/>
      <w:numFmt w:val="bullet"/>
      <w:lvlText w:val="o"/>
      <w:lvlJc w:val="left"/>
      <w:pPr>
        <w:ind w:left="1440" w:hanging="360"/>
      </w:pPr>
      <w:rPr>
        <w:rFonts w:ascii="Courier New" w:hAnsi="Courier New" w:hint="default"/>
      </w:rPr>
    </w:lvl>
    <w:lvl w:ilvl="2" w:tplc="6C84A40C">
      <w:start w:val="1"/>
      <w:numFmt w:val="bullet"/>
      <w:lvlText w:val=""/>
      <w:lvlJc w:val="left"/>
      <w:pPr>
        <w:ind w:left="2160" w:hanging="360"/>
      </w:pPr>
      <w:rPr>
        <w:rFonts w:ascii="Wingdings" w:hAnsi="Wingdings" w:hint="default"/>
      </w:rPr>
    </w:lvl>
    <w:lvl w:ilvl="3" w:tplc="C9D456B6">
      <w:start w:val="1"/>
      <w:numFmt w:val="bullet"/>
      <w:lvlText w:val=""/>
      <w:lvlJc w:val="left"/>
      <w:pPr>
        <w:ind w:left="2880" w:hanging="360"/>
      </w:pPr>
      <w:rPr>
        <w:rFonts w:ascii="Symbol" w:hAnsi="Symbol" w:hint="default"/>
      </w:rPr>
    </w:lvl>
    <w:lvl w:ilvl="4" w:tplc="103070D4">
      <w:start w:val="1"/>
      <w:numFmt w:val="bullet"/>
      <w:lvlText w:val="o"/>
      <w:lvlJc w:val="left"/>
      <w:pPr>
        <w:ind w:left="3600" w:hanging="360"/>
      </w:pPr>
      <w:rPr>
        <w:rFonts w:ascii="Courier New" w:hAnsi="Courier New" w:hint="default"/>
      </w:rPr>
    </w:lvl>
    <w:lvl w:ilvl="5" w:tplc="FF3C5CE8">
      <w:start w:val="1"/>
      <w:numFmt w:val="bullet"/>
      <w:lvlText w:val=""/>
      <w:lvlJc w:val="left"/>
      <w:pPr>
        <w:ind w:left="4320" w:hanging="360"/>
      </w:pPr>
      <w:rPr>
        <w:rFonts w:ascii="Wingdings" w:hAnsi="Wingdings" w:hint="default"/>
      </w:rPr>
    </w:lvl>
    <w:lvl w:ilvl="6" w:tplc="C108D892">
      <w:start w:val="1"/>
      <w:numFmt w:val="bullet"/>
      <w:lvlText w:val=""/>
      <w:lvlJc w:val="left"/>
      <w:pPr>
        <w:ind w:left="5040" w:hanging="360"/>
      </w:pPr>
      <w:rPr>
        <w:rFonts w:ascii="Symbol" w:hAnsi="Symbol" w:hint="default"/>
      </w:rPr>
    </w:lvl>
    <w:lvl w:ilvl="7" w:tplc="DE4C9710">
      <w:start w:val="1"/>
      <w:numFmt w:val="bullet"/>
      <w:lvlText w:val="o"/>
      <w:lvlJc w:val="left"/>
      <w:pPr>
        <w:ind w:left="5760" w:hanging="360"/>
      </w:pPr>
      <w:rPr>
        <w:rFonts w:ascii="Courier New" w:hAnsi="Courier New" w:hint="default"/>
      </w:rPr>
    </w:lvl>
    <w:lvl w:ilvl="8" w:tplc="A5FA0D38">
      <w:start w:val="1"/>
      <w:numFmt w:val="bullet"/>
      <w:lvlText w:val=""/>
      <w:lvlJc w:val="left"/>
      <w:pPr>
        <w:ind w:left="6480" w:hanging="360"/>
      </w:pPr>
      <w:rPr>
        <w:rFonts w:ascii="Wingdings" w:hAnsi="Wingdings" w:hint="default"/>
      </w:rPr>
    </w:lvl>
  </w:abstractNum>
  <w:abstractNum w:abstractNumId="12" w15:restartNumberingAfterBreak="0">
    <w:nsid w:val="675786CC"/>
    <w:multiLevelType w:val="hybridMultilevel"/>
    <w:tmpl w:val="FFFFFFFF"/>
    <w:lvl w:ilvl="0" w:tplc="2594ED90">
      <w:start w:val="1"/>
      <w:numFmt w:val="bullet"/>
      <w:lvlText w:val="•"/>
      <w:lvlJc w:val="left"/>
      <w:pPr>
        <w:ind w:left="720" w:hanging="360"/>
      </w:pPr>
      <w:rPr>
        <w:rFonts w:ascii="Symbol" w:hAnsi="Symbol" w:hint="default"/>
      </w:rPr>
    </w:lvl>
    <w:lvl w:ilvl="1" w:tplc="411EA8F8">
      <w:start w:val="1"/>
      <w:numFmt w:val="bullet"/>
      <w:lvlText w:val="o"/>
      <w:lvlJc w:val="left"/>
      <w:pPr>
        <w:ind w:left="1440" w:hanging="360"/>
      </w:pPr>
      <w:rPr>
        <w:rFonts w:ascii="Courier New" w:hAnsi="Courier New" w:hint="default"/>
      </w:rPr>
    </w:lvl>
    <w:lvl w:ilvl="2" w:tplc="C3CE272C">
      <w:start w:val="1"/>
      <w:numFmt w:val="bullet"/>
      <w:lvlText w:val=""/>
      <w:lvlJc w:val="left"/>
      <w:pPr>
        <w:ind w:left="2160" w:hanging="360"/>
      </w:pPr>
      <w:rPr>
        <w:rFonts w:ascii="Wingdings" w:hAnsi="Wingdings" w:hint="default"/>
      </w:rPr>
    </w:lvl>
    <w:lvl w:ilvl="3" w:tplc="3CEC79F2">
      <w:start w:val="1"/>
      <w:numFmt w:val="bullet"/>
      <w:lvlText w:val=""/>
      <w:lvlJc w:val="left"/>
      <w:pPr>
        <w:ind w:left="2880" w:hanging="360"/>
      </w:pPr>
      <w:rPr>
        <w:rFonts w:ascii="Symbol" w:hAnsi="Symbol" w:hint="default"/>
      </w:rPr>
    </w:lvl>
    <w:lvl w:ilvl="4" w:tplc="9BC08A88">
      <w:start w:val="1"/>
      <w:numFmt w:val="bullet"/>
      <w:lvlText w:val="o"/>
      <w:lvlJc w:val="left"/>
      <w:pPr>
        <w:ind w:left="3600" w:hanging="360"/>
      </w:pPr>
      <w:rPr>
        <w:rFonts w:ascii="Courier New" w:hAnsi="Courier New" w:hint="default"/>
      </w:rPr>
    </w:lvl>
    <w:lvl w:ilvl="5" w:tplc="19E0E4B2">
      <w:start w:val="1"/>
      <w:numFmt w:val="bullet"/>
      <w:lvlText w:val=""/>
      <w:lvlJc w:val="left"/>
      <w:pPr>
        <w:ind w:left="4320" w:hanging="360"/>
      </w:pPr>
      <w:rPr>
        <w:rFonts w:ascii="Wingdings" w:hAnsi="Wingdings" w:hint="default"/>
      </w:rPr>
    </w:lvl>
    <w:lvl w:ilvl="6" w:tplc="0F0A6C3E">
      <w:start w:val="1"/>
      <w:numFmt w:val="bullet"/>
      <w:lvlText w:val=""/>
      <w:lvlJc w:val="left"/>
      <w:pPr>
        <w:ind w:left="5040" w:hanging="360"/>
      </w:pPr>
      <w:rPr>
        <w:rFonts w:ascii="Symbol" w:hAnsi="Symbol" w:hint="default"/>
      </w:rPr>
    </w:lvl>
    <w:lvl w:ilvl="7" w:tplc="F238FDC6">
      <w:start w:val="1"/>
      <w:numFmt w:val="bullet"/>
      <w:lvlText w:val="o"/>
      <w:lvlJc w:val="left"/>
      <w:pPr>
        <w:ind w:left="5760" w:hanging="360"/>
      </w:pPr>
      <w:rPr>
        <w:rFonts w:ascii="Courier New" w:hAnsi="Courier New" w:hint="default"/>
      </w:rPr>
    </w:lvl>
    <w:lvl w:ilvl="8" w:tplc="4BF46612">
      <w:start w:val="1"/>
      <w:numFmt w:val="bullet"/>
      <w:lvlText w:val=""/>
      <w:lvlJc w:val="left"/>
      <w:pPr>
        <w:ind w:left="6480" w:hanging="360"/>
      </w:pPr>
      <w:rPr>
        <w:rFonts w:ascii="Wingdings" w:hAnsi="Wingdings" w:hint="default"/>
      </w:rPr>
    </w:lvl>
  </w:abstractNum>
  <w:abstractNum w:abstractNumId="13" w15:restartNumberingAfterBreak="0">
    <w:nsid w:val="72D06245"/>
    <w:multiLevelType w:val="hybridMultilevel"/>
    <w:tmpl w:val="82F8C8F4"/>
    <w:lvl w:ilvl="0" w:tplc="F5FA3CE4">
      <w:start w:val="1"/>
      <w:numFmt w:val="bullet"/>
      <w:lvlText w:val="◦"/>
      <w:lvlJc w:val="left"/>
      <w:pPr>
        <w:ind w:left="1080" w:hanging="360"/>
      </w:pPr>
    </w:lvl>
    <w:lvl w:ilvl="1" w:tplc="73540220">
      <w:numFmt w:val="decimal"/>
      <w:lvlText w:val=""/>
      <w:lvlJc w:val="left"/>
    </w:lvl>
    <w:lvl w:ilvl="2" w:tplc="C9C41E1E">
      <w:numFmt w:val="decimal"/>
      <w:lvlText w:val=""/>
      <w:lvlJc w:val="left"/>
    </w:lvl>
    <w:lvl w:ilvl="3" w:tplc="D7243794">
      <w:numFmt w:val="decimal"/>
      <w:lvlText w:val=""/>
      <w:lvlJc w:val="left"/>
    </w:lvl>
    <w:lvl w:ilvl="4" w:tplc="7ADE0BE0">
      <w:numFmt w:val="decimal"/>
      <w:lvlText w:val=""/>
      <w:lvlJc w:val="left"/>
    </w:lvl>
    <w:lvl w:ilvl="5" w:tplc="D7C6879E">
      <w:numFmt w:val="decimal"/>
      <w:lvlText w:val=""/>
      <w:lvlJc w:val="left"/>
    </w:lvl>
    <w:lvl w:ilvl="6" w:tplc="32E625C6">
      <w:numFmt w:val="decimal"/>
      <w:lvlText w:val=""/>
      <w:lvlJc w:val="left"/>
    </w:lvl>
    <w:lvl w:ilvl="7" w:tplc="677A3A06">
      <w:numFmt w:val="decimal"/>
      <w:lvlText w:val=""/>
      <w:lvlJc w:val="left"/>
    </w:lvl>
    <w:lvl w:ilvl="8" w:tplc="8430CBAA">
      <w:numFmt w:val="decimal"/>
      <w:lvlText w:val=""/>
      <w:lvlJc w:val="left"/>
    </w:lvl>
  </w:abstractNum>
  <w:abstractNum w:abstractNumId="14" w15:restartNumberingAfterBreak="0">
    <w:nsid w:val="78036EE5"/>
    <w:multiLevelType w:val="hybridMultilevel"/>
    <w:tmpl w:val="1B1ECAB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109854021">
    <w:abstractNumId w:val="2"/>
    <w:lvlOverride w:ilvl="0">
      <w:startOverride w:val="1"/>
    </w:lvlOverride>
  </w:num>
  <w:num w:numId="2" w16cid:durableId="1157265891">
    <w:abstractNumId w:val="8"/>
  </w:num>
  <w:num w:numId="3" w16cid:durableId="1214973153">
    <w:abstractNumId w:val="3"/>
  </w:num>
  <w:num w:numId="4" w16cid:durableId="1489905983">
    <w:abstractNumId w:val="1"/>
  </w:num>
  <w:num w:numId="5" w16cid:durableId="1572697249">
    <w:abstractNumId w:val="10"/>
  </w:num>
  <w:num w:numId="6" w16cid:durableId="1699812561">
    <w:abstractNumId w:val="7"/>
    <w:lvlOverride w:ilvl="0">
      <w:startOverride w:val="1"/>
    </w:lvlOverride>
  </w:num>
  <w:num w:numId="7" w16cid:durableId="1718237756">
    <w:abstractNumId w:val="5"/>
  </w:num>
  <w:num w:numId="8" w16cid:durableId="182015893">
    <w:abstractNumId w:val="6"/>
  </w:num>
  <w:num w:numId="9" w16cid:durableId="25182325">
    <w:abstractNumId w:val="14"/>
  </w:num>
  <w:num w:numId="10" w16cid:durableId="259484222">
    <w:abstractNumId w:val="0"/>
    <w:lvlOverride w:ilvl="0">
      <w:startOverride w:val="1"/>
    </w:lvlOverride>
  </w:num>
  <w:num w:numId="11" w16cid:durableId="531503915">
    <w:abstractNumId w:val="12"/>
  </w:num>
  <w:num w:numId="12" w16cid:durableId="615648483">
    <w:abstractNumId w:val="11"/>
  </w:num>
  <w:num w:numId="13" w16cid:durableId="808396048">
    <w:abstractNumId w:val="9"/>
  </w:num>
  <w:num w:numId="14" w16cid:durableId="9145823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2D72"/>
    <w:rsid w:val="00002FB1"/>
    <w:rsid w:val="00003591"/>
    <w:rsid w:val="00011BC1"/>
    <w:rsid w:val="000152A7"/>
    <w:rsid w:val="0001626B"/>
    <w:rsid w:val="00020BD2"/>
    <w:rsid w:val="000233D3"/>
    <w:rsid w:val="000248D9"/>
    <w:rsid w:val="0004588E"/>
    <w:rsid w:val="00052F21"/>
    <w:rsid w:val="000572AA"/>
    <w:rsid w:val="00062E74"/>
    <w:rsid w:val="00065D2F"/>
    <w:rsid w:val="00077454"/>
    <w:rsid w:val="00085D10"/>
    <w:rsid w:val="00087699"/>
    <w:rsid w:val="00087DB3"/>
    <w:rsid w:val="00093C29"/>
    <w:rsid w:val="000961E3"/>
    <w:rsid w:val="000A3398"/>
    <w:rsid w:val="000A35C0"/>
    <w:rsid w:val="000A68BB"/>
    <w:rsid w:val="000B536F"/>
    <w:rsid w:val="000C1A01"/>
    <w:rsid w:val="000C5C1F"/>
    <w:rsid w:val="000C68F9"/>
    <w:rsid w:val="000D187B"/>
    <w:rsid w:val="000D448A"/>
    <w:rsid w:val="000E1C42"/>
    <w:rsid w:val="000E2F8C"/>
    <w:rsid w:val="000E475C"/>
    <w:rsid w:val="000F378B"/>
    <w:rsid w:val="000F6DBB"/>
    <w:rsid w:val="0010096F"/>
    <w:rsid w:val="0010258E"/>
    <w:rsid w:val="00111BEA"/>
    <w:rsid w:val="0011286A"/>
    <w:rsid w:val="001129E7"/>
    <w:rsid w:val="001136C2"/>
    <w:rsid w:val="001161A5"/>
    <w:rsid w:val="00116DC2"/>
    <w:rsid w:val="00120FBB"/>
    <w:rsid w:val="0012298D"/>
    <w:rsid w:val="00132B18"/>
    <w:rsid w:val="0013467C"/>
    <w:rsid w:val="00135256"/>
    <w:rsid w:val="00137098"/>
    <w:rsid w:val="00140541"/>
    <w:rsid w:val="00154C65"/>
    <w:rsid w:val="00162F1F"/>
    <w:rsid w:val="00165180"/>
    <w:rsid w:val="00166286"/>
    <w:rsid w:val="00173682"/>
    <w:rsid w:val="00175C7E"/>
    <w:rsid w:val="00181245"/>
    <w:rsid w:val="001871A3"/>
    <w:rsid w:val="001A1705"/>
    <w:rsid w:val="001A2A07"/>
    <w:rsid w:val="001A7124"/>
    <w:rsid w:val="001A722B"/>
    <w:rsid w:val="001B1631"/>
    <w:rsid w:val="001B1B24"/>
    <w:rsid w:val="001B422F"/>
    <w:rsid w:val="001C6A99"/>
    <w:rsid w:val="001C7A7A"/>
    <w:rsid w:val="001C7D67"/>
    <w:rsid w:val="001D037E"/>
    <w:rsid w:val="001E3D4F"/>
    <w:rsid w:val="001E5976"/>
    <w:rsid w:val="001F252D"/>
    <w:rsid w:val="001F255D"/>
    <w:rsid w:val="0020067F"/>
    <w:rsid w:val="0021373B"/>
    <w:rsid w:val="00222796"/>
    <w:rsid w:val="0022605A"/>
    <w:rsid w:val="002264D7"/>
    <w:rsid w:val="00236E57"/>
    <w:rsid w:val="00240B63"/>
    <w:rsid w:val="00247C31"/>
    <w:rsid w:val="00250FC7"/>
    <w:rsid w:val="00262D72"/>
    <w:rsid w:val="00264801"/>
    <w:rsid w:val="00270982"/>
    <w:rsid w:val="00271B97"/>
    <w:rsid w:val="002769FA"/>
    <w:rsid w:val="0028285F"/>
    <w:rsid w:val="002920A2"/>
    <w:rsid w:val="002A0FDA"/>
    <w:rsid w:val="002A178A"/>
    <w:rsid w:val="002A3043"/>
    <w:rsid w:val="002B055E"/>
    <w:rsid w:val="002B0ABC"/>
    <w:rsid w:val="002B3A48"/>
    <w:rsid w:val="002B5468"/>
    <w:rsid w:val="002B75A8"/>
    <w:rsid w:val="002D34E6"/>
    <w:rsid w:val="002D3EEB"/>
    <w:rsid w:val="002E7BBE"/>
    <w:rsid w:val="002F2C35"/>
    <w:rsid w:val="00300A21"/>
    <w:rsid w:val="00306EEB"/>
    <w:rsid w:val="00313C92"/>
    <w:rsid w:val="00315E84"/>
    <w:rsid w:val="00317DC9"/>
    <w:rsid w:val="003200B5"/>
    <w:rsid w:val="00324D63"/>
    <w:rsid w:val="003256F7"/>
    <w:rsid w:val="003259E1"/>
    <w:rsid w:val="00340729"/>
    <w:rsid w:val="00343672"/>
    <w:rsid w:val="003544D6"/>
    <w:rsid w:val="0035654D"/>
    <w:rsid w:val="00370FF4"/>
    <w:rsid w:val="00372968"/>
    <w:rsid w:val="00372A4F"/>
    <w:rsid w:val="0037341B"/>
    <w:rsid w:val="00374A61"/>
    <w:rsid w:val="00385E1E"/>
    <w:rsid w:val="003926A4"/>
    <w:rsid w:val="0039359E"/>
    <w:rsid w:val="003A1013"/>
    <w:rsid w:val="003A22A2"/>
    <w:rsid w:val="003A3108"/>
    <w:rsid w:val="003A5454"/>
    <w:rsid w:val="003A567F"/>
    <w:rsid w:val="003A72BA"/>
    <w:rsid w:val="003B1870"/>
    <w:rsid w:val="003C0A32"/>
    <w:rsid w:val="003C26F1"/>
    <w:rsid w:val="003C2AB3"/>
    <w:rsid w:val="003D1C6E"/>
    <w:rsid w:val="003D373A"/>
    <w:rsid w:val="003F434E"/>
    <w:rsid w:val="0040248E"/>
    <w:rsid w:val="00402646"/>
    <w:rsid w:val="004108B9"/>
    <w:rsid w:val="00410CC5"/>
    <w:rsid w:val="00412F3B"/>
    <w:rsid w:val="00414DAE"/>
    <w:rsid w:val="00421829"/>
    <w:rsid w:val="0043200C"/>
    <w:rsid w:val="00434272"/>
    <w:rsid w:val="00442A8B"/>
    <w:rsid w:val="00443A96"/>
    <w:rsid w:val="0044617B"/>
    <w:rsid w:val="004552C5"/>
    <w:rsid w:val="00455B15"/>
    <w:rsid w:val="00457B3F"/>
    <w:rsid w:val="00462513"/>
    <w:rsid w:val="004702BE"/>
    <w:rsid w:val="004735FD"/>
    <w:rsid w:val="004778D6"/>
    <w:rsid w:val="00494600"/>
    <w:rsid w:val="0049533E"/>
    <w:rsid w:val="004A236F"/>
    <w:rsid w:val="004A2A98"/>
    <w:rsid w:val="004A3ED6"/>
    <w:rsid w:val="004A4F54"/>
    <w:rsid w:val="004A5237"/>
    <w:rsid w:val="004A7BFD"/>
    <w:rsid w:val="004B16D7"/>
    <w:rsid w:val="004B24C2"/>
    <w:rsid w:val="004B3535"/>
    <w:rsid w:val="004B469F"/>
    <w:rsid w:val="004B78F0"/>
    <w:rsid w:val="004C1542"/>
    <w:rsid w:val="004C264B"/>
    <w:rsid w:val="004C3120"/>
    <w:rsid w:val="004C44A4"/>
    <w:rsid w:val="004D2FD7"/>
    <w:rsid w:val="004E315F"/>
    <w:rsid w:val="004E32F7"/>
    <w:rsid w:val="004E75D3"/>
    <w:rsid w:val="004F0C76"/>
    <w:rsid w:val="005004AC"/>
    <w:rsid w:val="0050347A"/>
    <w:rsid w:val="00506C5A"/>
    <w:rsid w:val="00513456"/>
    <w:rsid w:val="00515429"/>
    <w:rsid w:val="005211A0"/>
    <w:rsid w:val="00525E20"/>
    <w:rsid w:val="00527EC6"/>
    <w:rsid w:val="00530CB7"/>
    <w:rsid w:val="00542127"/>
    <w:rsid w:val="00543642"/>
    <w:rsid w:val="00551EF0"/>
    <w:rsid w:val="0056652A"/>
    <w:rsid w:val="0057341F"/>
    <w:rsid w:val="005812E9"/>
    <w:rsid w:val="005849FA"/>
    <w:rsid w:val="00586B81"/>
    <w:rsid w:val="00591DFA"/>
    <w:rsid w:val="005A041C"/>
    <w:rsid w:val="005A1FF5"/>
    <w:rsid w:val="005A6E59"/>
    <w:rsid w:val="005B52B2"/>
    <w:rsid w:val="005C757A"/>
    <w:rsid w:val="005D1DE3"/>
    <w:rsid w:val="005D52E9"/>
    <w:rsid w:val="005E1CCC"/>
    <w:rsid w:val="005E2B93"/>
    <w:rsid w:val="005E3450"/>
    <w:rsid w:val="005E46E6"/>
    <w:rsid w:val="005E556D"/>
    <w:rsid w:val="005E7070"/>
    <w:rsid w:val="005F247D"/>
    <w:rsid w:val="005F296F"/>
    <w:rsid w:val="005F5898"/>
    <w:rsid w:val="005F6087"/>
    <w:rsid w:val="00600922"/>
    <w:rsid w:val="00602F8F"/>
    <w:rsid w:val="006031DC"/>
    <w:rsid w:val="006037F0"/>
    <w:rsid w:val="006069D3"/>
    <w:rsid w:val="00611BF2"/>
    <w:rsid w:val="00621253"/>
    <w:rsid w:val="00625705"/>
    <w:rsid w:val="00625802"/>
    <w:rsid w:val="00626109"/>
    <w:rsid w:val="0063664C"/>
    <w:rsid w:val="0063676F"/>
    <w:rsid w:val="00642D8C"/>
    <w:rsid w:val="00650AE8"/>
    <w:rsid w:val="006526C1"/>
    <w:rsid w:val="00652B67"/>
    <w:rsid w:val="00657C78"/>
    <w:rsid w:val="006667B9"/>
    <w:rsid w:val="0067031E"/>
    <w:rsid w:val="00681C05"/>
    <w:rsid w:val="0068375C"/>
    <w:rsid w:val="006857AE"/>
    <w:rsid w:val="00687F23"/>
    <w:rsid w:val="006974A9"/>
    <w:rsid w:val="006A5533"/>
    <w:rsid w:val="006A7244"/>
    <w:rsid w:val="006C06CF"/>
    <w:rsid w:val="006C6543"/>
    <w:rsid w:val="006D3AC2"/>
    <w:rsid w:val="006D7B80"/>
    <w:rsid w:val="006E6601"/>
    <w:rsid w:val="0070358C"/>
    <w:rsid w:val="00704E23"/>
    <w:rsid w:val="00705BEC"/>
    <w:rsid w:val="00710842"/>
    <w:rsid w:val="00711486"/>
    <w:rsid w:val="0073108B"/>
    <w:rsid w:val="0073226D"/>
    <w:rsid w:val="00743397"/>
    <w:rsid w:val="00755A65"/>
    <w:rsid w:val="007603F2"/>
    <w:rsid w:val="00763787"/>
    <w:rsid w:val="00764AC6"/>
    <w:rsid w:val="00764BF7"/>
    <w:rsid w:val="0076778B"/>
    <w:rsid w:val="00781B18"/>
    <w:rsid w:val="00783FAF"/>
    <w:rsid w:val="007856E9"/>
    <w:rsid w:val="00792B29"/>
    <w:rsid w:val="00793BD2"/>
    <w:rsid w:val="00797E2D"/>
    <w:rsid w:val="007A458C"/>
    <w:rsid w:val="007A4FCB"/>
    <w:rsid w:val="007A5ED0"/>
    <w:rsid w:val="007A6A77"/>
    <w:rsid w:val="007A71C5"/>
    <w:rsid w:val="007B220A"/>
    <w:rsid w:val="007B6177"/>
    <w:rsid w:val="007B75B0"/>
    <w:rsid w:val="007C0D73"/>
    <w:rsid w:val="007C7498"/>
    <w:rsid w:val="007D3FDD"/>
    <w:rsid w:val="007F2249"/>
    <w:rsid w:val="007F25AB"/>
    <w:rsid w:val="007F7368"/>
    <w:rsid w:val="00802100"/>
    <w:rsid w:val="00803E38"/>
    <w:rsid w:val="008043E8"/>
    <w:rsid w:val="00804852"/>
    <w:rsid w:val="00815C59"/>
    <w:rsid w:val="00816B79"/>
    <w:rsid w:val="0082020D"/>
    <w:rsid w:val="00820AED"/>
    <w:rsid w:val="00821361"/>
    <w:rsid w:val="00821894"/>
    <w:rsid w:val="00823DC1"/>
    <w:rsid w:val="00826A25"/>
    <w:rsid w:val="008332AE"/>
    <w:rsid w:val="00835B17"/>
    <w:rsid w:val="00843669"/>
    <w:rsid w:val="00844523"/>
    <w:rsid w:val="008449C7"/>
    <w:rsid w:val="00856525"/>
    <w:rsid w:val="008579A1"/>
    <w:rsid w:val="00876653"/>
    <w:rsid w:val="00877581"/>
    <w:rsid w:val="00880147"/>
    <w:rsid w:val="00891D87"/>
    <w:rsid w:val="008A3671"/>
    <w:rsid w:val="008B634B"/>
    <w:rsid w:val="008C1F33"/>
    <w:rsid w:val="008D24ED"/>
    <w:rsid w:val="008D3633"/>
    <w:rsid w:val="008D7299"/>
    <w:rsid w:val="008D7BA0"/>
    <w:rsid w:val="008E63AD"/>
    <w:rsid w:val="008F60AF"/>
    <w:rsid w:val="00913BF1"/>
    <w:rsid w:val="00914218"/>
    <w:rsid w:val="00915776"/>
    <w:rsid w:val="009166CC"/>
    <w:rsid w:val="0092456D"/>
    <w:rsid w:val="00930BA1"/>
    <w:rsid w:val="0093263C"/>
    <w:rsid w:val="00941672"/>
    <w:rsid w:val="0095089E"/>
    <w:rsid w:val="00952B21"/>
    <w:rsid w:val="009536BE"/>
    <w:rsid w:val="00955A10"/>
    <w:rsid w:val="00956109"/>
    <w:rsid w:val="009627FA"/>
    <w:rsid w:val="00967053"/>
    <w:rsid w:val="009679E9"/>
    <w:rsid w:val="009740B9"/>
    <w:rsid w:val="00975D76"/>
    <w:rsid w:val="009774FE"/>
    <w:rsid w:val="0098381E"/>
    <w:rsid w:val="00987717"/>
    <w:rsid w:val="009908CF"/>
    <w:rsid w:val="009A210E"/>
    <w:rsid w:val="009A4F7E"/>
    <w:rsid w:val="009A560F"/>
    <w:rsid w:val="009B3308"/>
    <w:rsid w:val="009C1157"/>
    <w:rsid w:val="009C1A9A"/>
    <w:rsid w:val="009C2782"/>
    <w:rsid w:val="009C4F10"/>
    <w:rsid w:val="009C563F"/>
    <w:rsid w:val="009D1C4A"/>
    <w:rsid w:val="009D3176"/>
    <w:rsid w:val="009D4859"/>
    <w:rsid w:val="009D5721"/>
    <w:rsid w:val="009E2A0E"/>
    <w:rsid w:val="009E2F25"/>
    <w:rsid w:val="009F0F47"/>
    <w:rsid w:val="009F1E24"/>
    <w:rsid w:val="009F50C7"/>
    <w:rsid w:val="009F5982"/>
    <w:rsid w:val="00A15951"/>
    <w:rsid w:val="00A2148A"/>
    <w:rsid w:val="00A256B8"/>
    <w:rsid w:val="00A3127C"/>
    <w:rsid w:val="00A33EC8"/>
    <w:rsid w:val="00A343E6"/>
    <w:rsid w:val="00A35329"/>
    <w:rsid w:val="00A40084"/>
    <w:rsid w:val="00A56EFA"/>
    <w:rsid w:val="00A5779E"/>
    <w:rsid w:val="00A73A71"/>
    <w:rsid w:val="00A75F35"/>
    <w:rsid w:val="00A77529"/>
    <w:rsid w:val="00A77BAD"/>
    <w:rsid w:val="00AA1C54"/>
    <w:rsid w:val="00AB1AD7"/>
    <w:rsid w:val="00AB6818"/>
    <w:rsid w:val="00AC090D"/>
    <w:rsid w:val="00AC1994"/>
    <w:rsid w:val="00AC21D7"/>
    <w:rsid w:val="00AC2634"/>
    <w:rsid w:val="00AC4AA0"/>
    <w:rsid w:val="00AC55E1"/>
    <w:rsid w:val="00AD773B"/>
    <w:rsid w:val="00AE2266"/>
    <w:rsid w:val="00AE34F1"/>
    <w:rsid w:val="00AF2344"/>
    <w:rsid w:val="00AF2648"/>
    <w:rsid w:val="00B04546"/>
    <w:rsid w:val="00B04B90"/>
    <w:rsid w:val="00B04E0B"/>
    <w:rsid w:val="00B1689A"/>
    <w:rsid w:val="00B2625A"/>
    <w:rsid w:val="00B339F5"/>
    <w:rsid w:val="00B3511E"/>
    <w:rsid w:val="00B5358C"/>
    <w:rsid w:val="00B55514"/>
    <w:rsid w:val="00B621DC"/>
    <w:rsid w:val="00B6221B"/>
    <w:rsid w:val="00B6790C"/>
    <w:rsid w:val="00B763DD"/>
    <w:rsid w:val="00B832DE"/>
    <w:rsid w:val="00B8489D"/>
    <w:rsid w:val="00B87401"/>
    <w:rsid w:val="00B87710"/>
    <w:rsid w:val="00B9026B"/>
    <w:rsid w:val="00BA30AC"/>
    <w:rsid w:val="00BD56DF"/>
    <w:rsid w:val="00BF1F4C"/>
    <w:rsid w:val="00BF2760"/>
    <w:rsid w:val="00BF3220"/>
    <w:rsid w:val="00BF6CA6"/>
    <w:rsid w:val="00C00D48"/>
    <w:rsid w:val="00C103C9"/>
    <w:rsid w:val="00C27305"/>
    <w:rsid w:val="00C31FA0"/>
    <w:rsid w:val="00C339AA"/>
    <w:rsid w:val="00C359DA"/>
    <w:rsid w:val="00C44C3D"/>
    <w:rsid w:val="00C51A43"/>
    <w:rsid w:val="00C5550F"/>
    <w:rsid w:val="00C55A2A"/>
    <w:rsid w:val="00C57858"/>
    <w:rsid w:val="00C65906"/>
    <w:rsid w:val="00C67C12"/>
    <w:rsid w:val="00C70DB2"/>
    <w:rsid w:val="00C719B2"/>
    <w:rsid w:val="00C74C4F"/>
    <w:rsid w:val="00C80BF4"/>
    <w:rsid w:val="00C81C88"/>
    <w:rsid w:val="00C83D3B"/>
    <w:rsid w:val="00C8506D"/>
    <w:rsid w:val="00C92776"/>
    <w:rsid w:val="00C93BAF"/>
    <w:rsid w:val="00C9637D"/>
    <w:rsid w:val="00CA693C"/>
    <w:rsid w:val="00CA7997"/>
    <w:rsid w:val="00CB5B6F"/>
    <w:rsid w:val="00CC1E50"/>
    <w:rsid w:val="00CC4E5A"/>
    <w:rsid w:val="00CD2864"/>
    <w:rsid w:val="00CD5C3C"/>
    <w:rsid w:val="00CE0F77"/>
    <w:rsid w:val="00CE0F91"/>
    <w:rsid w:val="00CE1480"/>
    <w:rsid w:val="00CE5E4D"/>
    <w:rsid w:val="00CE6383"/>
    <w:rsid w:val="00CF0AF6"/>
    <w:rsid w:val="00CF3C31"/>
    <w:rsid w:val="00CF58C4"/>
    <w:rsid w:val="00CF69F0"/>
    <w:rsid w:val="00CF6FA3"/>
    <w:rsid w:val="00CF75D2"/>
    <w:rsid w:val="00D10600"/>
    <w:rsid w:val="00D21254"/>
    <w:rsid w:val="00D24787"/>
    <w:rsid w:val="00D33402"/>
    <w:rsid w:val="00D4002C"/>
    <w:rsid w:val="00D40178"/>
    <w:rsid w:val="00D4033D"/>
    <w:rsid w:val="00D403F9"/>
    <w:rsid w:val="00D467DD"/>
    <w:rsid w:val="00D52C99"/>
    <w:rsid w:val="00D55861"/>
    <w:rsid w:val="00D56A30"/>
    <w:rsid w:val="00D57515"/>
    <w:rsid w:val="00D57635"/>
    <w:rsid w:val="00D57980"/>
    <w:rsid w:val="00D61F27"/>
    <w:rsid w:val="00D61F54"/>
    <w:rsid w:val="00D677AF"/>
    <w:rsid w:val="00D70110"/>
    <w:rsid w:val="00D71AF4"/>
    <w:rsid w:val="00D733B2"/>
    <w:rsid w:val="00D841F9"/>
    <w:rsid w:val="00D9416C"/>
    <w:rsid w:val="00DA31DC"/>
    <w:rsid w:val="00DB2C66"/>
    <w:rsid w:val="00DB3222"/>
    <w:rsid w:val="00DB706C"/>
    <w:rsid w:val="00DC1A36"/>
    <w:rsid w:val="00DD153F"/>
    <w:rsid w:val="00DD2E57"/>
    <w:rsid w:val="00DD7CD1"/>
    <w:rsid w:val="00DE23A8"/>
    <w:rsid w:val="00E04045"/>
    <w:rsid w:val="00E04736"/>
    <w:rsid w:val="00E14E0E"/>
    <w:rsid w:val="00E157E4"/>
    <w:rsid w:val="00E15DBE"/>
    <w:rsid w:val="00E33F7A"/>
    <w:rsid w:val="00E411DC"/>
    <w:rsid w:val="00E415D3"/>
    <w:rsid w:val="00E56781"/>
    <w:rsid w:val="00E65D4C"/>
    <w:rsid w:val="00E671D8"/>
    <w:rsid w:val="00E73B5C"/>
    <w:rsid w:val="00E7421E"/>
    <w:rsid w:val="00E744C2"/>
    <w:rsid w:val="00E7454D"/>
    <w:rsid w:val="00E74AE2"/>
    <w:rsid w:val="00E97DF7"/>
    <w:rsid w:val="00EA162C"/>
    <w:rsid w:val="00EA1669"/>
    <w:rsid w:val="00EA1F7D"/>
    <w:rsid w:val="00EB3189"/>
    <w:rsid w:val="00EB3FFA"/>
    <w:rsid w:val="00EC6C50"/>
    <w:rsid w:val="00ED36EC"/>
    <w:rsid w:val="00ED37A2"/>
    <w:rsid w:val="00ED4275"/>
    <w:rsid w:val="00EE0F39"/>
    <w:rsid w:val="00EE5955"/>
    <w:rsid w:val="00EE6E6C"/>
    <w:rsid w:val="00EF22E2"/>
    <w:rsid w:val="00EF2862"/>
    <w:rsid w:val="00EF319F"/>
    <w:rsid w:val="00F014FE"/>
    <w:rsid w:val="00F11E0F"/>
    <w:rsid w:val="00F21258"/>
    <w:rsid w:val="00F26E52"/>
    <w:rsid w:val="00F33B6A"/>
    <w:rsid w:val="00F366F9"/>
    <w:rsid w:val="00F4732C"/>
    <w:rsid w:val="00F518E6"/>
    <w:rsid w:val="00F57ADD"/>
    <w:rsid w:val="00F57D53"/>
    <w:rsid w:val="00F7345F"/>
    <w:rsid w:val="00F766E9"/>
    <w:rsid w:val="00F771CB"/>
    <w:rsid w:val="00F80598"/>
    <w:rsid w:val="00F80C63"/>
    <w:rsid w:val="00F816F5"/>
    <w:rsid w:val="00F87AD6"/>
    <w:rsid w:val="00F968F2"/>
    <w:rsid w:val="00F97D82"/>
    <w:rsid w:val="00FA0CDF"/>
    <w:rsid w:val="00FA40D2"/>
    <w:rsid w:val="00FA50B0"/>
    <w:rsid w:val="00FB3B47"/>
    <w:rsid w:val="00FB4FA6"/>
    <w:rsid w:val="00FD37C4"/>
    <w:rsid w:val="00FD3DAC"/>
    <w:rsid w:val="00FD66D3"/>
    <w:rsid w:val="00FD7B64"/>
    <w:rsid w:val="00FE3A36"/>
    <w:rsid w:val="00FE7B4D"/>
    <w:rsid w:val="00FF6B92"/>
    <w:rsid w:val="00FF6C96"/>
    <w:rsid w:val="0220F057"/>
    <w:rsid w:val="026D1D2A"/>
    <w:rsid w:val="0280B912"/>
    <w:rsid w:val="04130A00"/>
    <w:rsid w:val="041A6966"/>
    <w:rsid w:val="046E76D2"/>
    <w:rsid w:val="048AB1C0"/>
    <w:rsid w:val="052BE0DA"/>
    <w:rsid w:val="061310C2"/>
    <w:rsid w:val="0708AA41"/>
    <w:rsid w:val="0728BF9A"/>
    <w:rsid w:val="087D21EE"/>
    <w:rsid w:val="0A523A98"/>
    <w:rsid w:val="0A7CFA6B"/>
    <w:rsid w:val="0B127895"/>
    <w:rsid w:val="0B5CF786"/>
    <w:rsid w:val="0BB603B7"/>
    <w:rsid w:val="0D06E098"/>
    <w:rsid w:val="0D593E73"/>
    <w:rsid w:val="0DE36E81"/>
    <w:rsid w:val="0E6C022D"/>
    <w:rsid w:val="10025E1A"/>
    <w:rsid w:val="100D0778"/>
    <w:rsid w:val="1054D0BB"/>
    <w:rsid w:val="10625505"/>
    <w:rsid w:val="10B973D4"/>
    <w:rsid w:val="129B0AF4"/>
    <w:rsid w:val="12B97FC2"/>
    <w:rsid w:val="142535DD"/>
    <w:rsid w:val="150F3F62"/>
    <w:rsid w:val="153E8FE2"/>
    <w:rsid w:val="1558C8E8"/>
    <w:rsid w:val="173456C2"/>
    <w:rsid w:val="17403D0A"/>
    <w:rsid w:val="17C7A509"/>
    <w:rsid w:val="1810326A"/>
    <w:rsid w:val="1976A334"/>
    <w:rsid w:val="19A72D06"/>
    <w:rsid w:val="1A452147"/>
    <w:rsid w:val="1A97F9F5"/>
    <w:rsid w:val="1B3FB967"/>
    <w:rsid w:val="1B637EC3"/>
    <w:rsid w:val="1C32D5EC"/>
    <w:rsid w:val="1CCDB5BD"/>
    <w:rsid w:val="1D1358FA"/>
    <w:rsid w:val="1EC0D419"/>
    <w:rsid w:val="1F69A029"/>
    <w:rsid w:val="213C9942"/>
    <w:rsid w:val="21491F04"/>
    <w:rsid w:val="22D94172"/>
    <w:rsid w:val="2336051A"/>
    <w:rsid w:val="237F0E2B"/>
    <w:rsid w:val="25B30389"/>
    <w:rsid w:val="260A1C98"/>
    <w:rsid w:val="2681AC80"/>
    <w:rsid w:val="26DA28DF"/>
    <w:rsid w:val="272B01C7"/>
    <w:rsid w:val="272E9C5F"/>
    <w:rsid w:val="28F7B9E3"/>
    <w:rsid w:val="2934E07C"/>
    <w:rsid w:val="29AD01CA"/>
    <w:rsid w:val="2A25B025"/>
    <w:rsid w:val="2B8F75C2"/>
    <w:rsid w:val="2BA25094"/>
    <w:rsid w:val="2BEE01B2"/>
    <w:rsid w:val="2C8EA303"/>
    <w:rsid w:val="2D2768B0"/>
    <w:rsid w:val="2E6D3B92"/>
    <w:rsid w:val="2E7EB2E7"/>
    <w:rsid w:val="2EDDDACE"/>
    <w:rsid w:val="2F3383C3"/>
    <w:rsid w:val="2FF1E15D"/>
    <w:rsid w:val="3033D8B6"/>
    <w:rsid w:val="3077ECE9"/>
    <w:rsid w:val="3182016D"/>
    <w:rsid w:val="31A83844"/>
    <w:rsid w:val="349B4635"/>
    <w:rsid w:val="35DE674B"/>
    <w:rsid w:val="364E8659"/>
    <w:rsid w:val="3696551A"/>
    <w:rsid w:val="36A2D5AB"/>
    <w:rsid w:val="389DD501"/>
    <w:rsid w:val="38C3AFDE"/>
    <w:rsid w:val="38D88642"/>
    <w:rsid w:val="38E1A91C"/>
    <w:rsid w:val="3B01069F"/>
    <w:rsid w:val="3B673C08"/>
    <w:rsid w:val="3B67FDE3"/>
    <w:rsid w:val="3BBDA573"/>
    <w:rsid w:val="3CF31610"/>
    <w:rsid w:val="3DA94070"/>
    <w:rsid w:val="3E3B1583"/>
    <w:rsid w:val="415DDB83"/>
    <w:rsid w:val="417A4CDE"/>
    <w:rsid w:val="422A3B23"/>
    <w:rsid w:val="42628E06"/>
    <w:rsid w:val="42D1C34F"/>
    <w:rsid w:val="42F5EB13"/>
    <w:rsid w:val="431C6627"/>
    <w:rsid w:val="436003EA"/>
    <w:rsid w:val="43AE4688"/>
    <w:rsid w:val="43C13299"/>
    <w:rsid w:val="43DF5942"/>
    <w:rsid w:val="454575C6"/>
    <w:rsid w:val="46424716"/>
    <w:rsid w:val="47D9F1E8"/>
    <w:rsid w:val="49292129"/>
    <w:rsid w:val="4936CF38"/>
    <w:rsid w:val="496129C2"/>
    <w:rsid w:val="4961B0F1"/>
    <w:rsid w:val="49C10719"/>
    <w:rsid w:val="4AA514B3"/>
    <w:rsid w:val="4BB27CC6"/>
    <w:rsid w:val="4C33DD8B"/>
    <w:rsid w:val="4E0D1215"/>
    <w:rsid w:val="5096F090"/>
    <w:rsid w:val="50DA8D17"/>
    <w:rsid w:val="51209282"/>
    <w:rsid w:val="522CA190"/>
    <w:rsid w:val="529E1889"/>
    <w:rsid w:val="52B5F3BD"/>
    <w:rsid w:val="552A3405"/>
    <w:rsid w:val="56EE3F98"/>
    <w:rsid w:val="5706C6A2"/>
    <w:rsid w:val="57B9EBD5"/>
    <w:rsid w:val="57CFBCD6"/>
    <w:rsid w:val="57E88046"/>
    <w:rsid w:val="58652953"/>
    <w:rsid w:val="5917BACD"/>
    <w:rsid w:val="593BAB40"/>
    <w:rsid w:val="5ACF7921"/>
    <w:rsid w:val="5C4022DD"/>
    <w:rsid w:val="5D18A685"/>
    <w:rsid w:val="5DB04B3C"/>
    <w:rsid w:val="5F289638"/>
    <w:rsid w:val="5FC6BEA1"/>
    <w:rsid w:val="6022094C"/>
    <w:rsid w:val="62456C1A"/>
    <w:rsid w:val="62F72055"/>
    <w:rsid w:val="6308F3B5"/>
    <w:rsid w:val="6372EAF6"/>
    <w:rsid w:val="640DC31F"/>
    <w:rsid w:val="6414F49A"/>
    <w:rsid w:val="647C6FD5"/>
    <w:rsid w:val="64A07AC2"/>
    <w:rsid w:val="6513799D"/>
    <w:rsid w:val="662C9B04"/>
    <w:rsid w:val="676E0859"/>
    <w:rsid w:val="67D40C2A"/>
    <w:rsid w:val="694279E8"/>
    <w:rsid w:val="695FBA13"/>
    <w:rsid w:val="69836E57"/>
    <w:rsid w:val="69D2FB20"/>
    <w:rsid w:val="6A06DBC0"/>
    <w:rsid w:val="6B24C8AB"/>
    <w:rsid w:val="6B7EB6A4"/>
    <w:rsid w:val="6C1D4B34"/>
    <w:rsid w:val="6C648ABB"/>
    <w:rsid w:val="6DA880DA"/>
    <w:rsid w:val="6EC899FC"/>
    <w:rsid w:val="7091D67B"/>
    <w:rsid w:val="70F6D825"/>
    <w:rsid w:val="712A40D6"/>
    <w:rsid w:val="71E2A1AF"/>
    <w:rsid w:val="721B0E1D"/>
    <w:rsid w:val="723F99AE"/>
    <w:rsid w:val="7268E38E"/>
    <w:rsid w:val="72C9DCA1"/>
    <w:rsid w:val="7306556C"/>
    <w:rsid w:val="76E17F27"/>
    <w:rsid w:val="77340CFD"/>
    <w:rsid w:val="77F4E577"/>
    <w:rsid w:val="7891EFB1"/>
    <w:rsid w:val="789DF117"/>
    <w:rsid w:val="78A477F4"/>
    <w:rsid w:val="7A3BB2E7"/>
    <w:rsid w:val="7B663512"/>
    <w:rsid w:val="7BD83427"/>
    <w:rsid w:val="7CBBE036"/>
    <w:rsid w:val="7DFFED1E"/>
    <w:rsid w:val="7EF8D25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7BD9C3C3"/>
  <w15:docId w15:val="{7C2C0481-85A5-4195-B8CE-C313DC753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34343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160"/>
      <w:outlineLvl w:val="0"/>
    </w:pPr>
    <w:rPr>
      <w:color w:val="1FB7D1"/>
      <w:sz w:val="40"/>
      <w:szCs w:val="40"/>
    </w:rPr>
  </w:style>
  <w:style w:type="paragraph" w:styleId="Heading2">
    <w:name w:val="heading 2"/>
    <w:uiPriority w:val="9"/>
    <w:unhideWhenUsed/>
    <w:qFormat/>
    <w:pPr>
      <w:spacing w:before="240" w:after="80"/>
      <w:outlineLvl w:val="1"/>
    </w:pPr>
    <w:rPr>
      <w:b/>
      <w:bCs/>
      <w:sz w:val="22"/>
      <w:szCs w:val="22"/>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Zwaar1">
    <w:name w:val="Zwaar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character" w:styleId="EndnoteReference">
    <w:name w:val="endnote reference"/>
    <w:uiPriority w:val="99"/>
    <w:semiHidden/>
    <w:unhideWhenUsed/>
    <w:rPr>
      <w:vertAlign w:val="superscript"/>
    </w:rPr>
  </w:style>
  <w:style w:type="table" w:styleId="TableGrid">
    <w:name w:val="Table Grid"/>
    <w:basedOn w:val="TableNormal"/>
    <w:uiPriority w:val="39"/>
    <w:rsid w:val="009536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E75D3"/>
    <w:rPr>
      <w:sz w:val="16"/>
      <w:szCs w:val="16"/>
    </w:rPr>
  </w:style>
  <w:style w:type="paragraph" w:styleId="NormalWeb">
    <w:name w:val="Normal (Web)"/>
    <w:basedOn w:val="Normal"/>
    <w:uiPriority w:val="99"/>
    <w:semiHidden/>
    <w:unhideWhenUsed/>
    <w:rsid w:val="00C8506D"/>
    <w:rPr>
      <w:rFonts w:ascii="Times New Roman" w:hAnsi="Times New Roman" w:cs="Times New Roman"/>
      <w:sz w:val="24"/>
      <w:szCs w:val="24"/>
    </w:rPr>
  </w:style>
  <w:style w:type="paragraph" w:styleId="Header">
    <w:name w:val="header"/>
    <w:basedOn w:val="Normal"/>
    <w:link w:val="HeaderChar"/>
    <w:uiPriority w:val="99"/>
    <w:semiHidden/>
    <w:unhideWhenUsed/>
    <w:rsid w:val="000A35C0"/>
    <w:pPr>
      <w:tabs>
        <w:tab w:val="center" w:pos="4536"/>
        <w:tab w:val="right" w:pos="9072"/>
      </w:tabs>
    </w:pPr>
  </w:style>
  <w:style w:type="character" w:customStyle="1" w:styleId="HeaderChar">
    <w:name w:val="Header Char"/>
    <w:basedOn w:val="DefaultParagraphFont"/>
    <w:link w:val="Header"/>
    <w:uiPriority w:val="99"/>
    <w:semiHidden/>
    <w:rsid w:val="000A35C0"/>
  </w:style>
  <w:style w:type="paragraph" w:styleId="Footer">
    <w:name w:val="footer"/>
    <w:basedOn w:val="Normal"/>
    <w:link w:val="FooterChar"/>
    <w:uiPriority w:val="99"/>
    <w:semiHidden/>
    <w:unhideWhenUsed/>
    <w:rsid w:val="000A35C0"/>
    <w:pPr>
      <w:tabs>
        <w:tab w:val="center" w:pos="4536"/>
        <w:tab w:val="right" w:pos="9072"/>
      </w:tabs>
    </w:pPr>
  </w:style>
  <w:style w:type="character" w:customStyle="1" w:styleId="FooterChar">
    <w:name w:val="Footer Char"/>
    <w:basedOn w:val="DefaultParagraphFont"/>
    <w:link w:val="Footer"/>
    <w:uiPriority w:val="99"/>
    <w:semiHidden/>
    <w:rsid w:val="000A35C0"/>
  </w:style>
  <w:style w:type="character" w:customStyle="1" w:styleId="VoetnoottekstChar">
    <w:name w:val="Voetnoottekst Char"/>
    <w:uiPriority w:val="99"/>
    <w:semiHidden/>
    <w:unhideWhenUsed/>
    <w:rsid w:val="000A35C0"/>
    <w:rPr>
      <w:sz w:val="20"/>
      <w:szCs w:val="20"/>
    </w:rPr>
  </w:style>
  <w:style w:type="character" w:customStyle="1" w:styleId="EindnoottekstChar">
    <w:name w:val="Eindnoottekst Char"/>
    <w:uiPriority w:val="99"/>
    <w:semiHidden/>
    <w:unhideWhenUsed/>
    <w:rsid w:val="000A35C0"/>
    <w:rPr>
      <w:sz w:val="20"/>
      <w:szCs w:val="20"/>
    </w:rPr>
  </w:style>
  <w:style w:type="character" w:customStyle="1" w:styleId="TekstopmerkingChar">
    <w:name w:val="Tekst opmerking Char"/>
    <w:basedOn w:val="DefaultParagraphFont"/>
    <w:uiPriority w:val="99"/>
    <w:rsid w:val="000A35C0"/>
  </w:style>
  <w:style w:type="character" w:customStyle="1" w:styleId="OnderwerpvanopmerkingChar">
    <w:name w:val="Onderwerp van opmerking Char"/>
    <w:basedOn w:val="TekstopmerkingChar"/>
    <w:uiPriority w:val="99"/>
    <w:semiHidden/>
    <w:rsid w:val="000A35C0"/>
    <w:rPr>
      <w:b/>
      <w:bCs/>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2300689B50BE40B6A96F09230BF88E" ma:contentTypeVersion="3" ma:contentTypeDescription="Een nieuw document maken." ma:contentTypeScope="" ma:versionID="59cd7d0cf64e0c928b021731a0202d00">
  <xsd:schema xmlns:xsd="http://www.w3.org/2001/XMLSchema" xmlns:xs="http://www.w3.org/2001/XMLSchema" xmlns:p="http://schemas.microsoft.com/office/2006/metadata/properties" xmlns:ns2="17933614-0731-4af8-9195-3f80064e492b" targetNamespace="http://schemas.microsoft.com/office/2006/metadata/properties" ma:root="true" ma:fieldsID="61279c36c20fe525f4321b07047402e9" ns2:_="">
    <xsd:import namespace="17933614-0731-4af8-9195-3f80064e492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933614-0731-4af8-9195-3f80064e49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1A9D7D-C3A1-4423-8E60-2654EF2CA5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933614-0731-4af8-9195-3f80064e49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406AA5-8FF9-4AFC-A973-6FFD5698FF50}">
  <ds:schemaRefs>
    <ds:schemaRef ds:uri="http://schemas.microsoft.com/sharepoint/v3/contenttype/forms"/>
  </ds:schemaRefs>
</ds:datastoreItem>
</file>

<file path=customXml/itemProps3.xml><?xml version="1.0" encoding="utf-8"?>
<ds:datastoreItem xmlns:ds="http://schemas.openxmlformats.org/officeDocument/2006/customXml" ds:itemID="{6D85688E-318B-4CF1-B183-F7134595C75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4</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cp:lastModifiedBy>Sabine Goes</cp:lastModifiedBy>
  <cp:revision>5</cp:revision>
  <dcterms:created xsi:type="dcterms:W3CDTF">2026-05-28T12:43:00Z</dcterms:created>
  <dcterms:modified xsi:type="dcterms:W3CDTF">2026-05-28T14:30:00Z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0x010100BB2300689B50BE40B6A96F09230BF88E</vt:lpwstr>
  </property>
</Properties>
</file>